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《电子商务案例分析》课程教学大纲（三号黑体）</w:t>
      </w:r>
    </w:p>
    <w:p>
      <w:pPr>
        <w:pStyle w:val="4"/>
        <w:spacing w:before="156" w:beforeLines="50" w:after="156" w:afterLines="50"/>
        <w:ind w:firstLine="562" w:firstLineChars="200"/>
        <w:jc w:val="left"/>
        <w:rPr>
          <w:rFonts w:hint="eastAsia" w:hAnsi="宋体" w:eastAsia="黑体" w:cs="宋体"/>
          <w:lang w:eastAsia="zh-CN"/>
        </w:rPr>
      </w:pPr>
      <w:r>
        <w:rPr>
          <w:rFonts w:hint="eastAsia" w:ascii="黑体" w:hAnsi="黑体" w:eastAsia="黑体" w:cs="宋体"/>
          <w:b/>
          <w:sz w:val="28"/>
          <w:szCs w:val="28"/>
        </w:rPr>
        <w:t>一、课程基本信息</w:t>
      </w:r>
    </w:p>
    <w:tbl>
      <w:tblPr>
        <w:tblStyle w:val="8"/>
        <w:tblW w:w="86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3685"/>
        <w:gridCol w:w="1134"/>
        <w:gridCol w:w="27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5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 w:cs="黑体"/>
                <w:b/>
                <w:bCs/>
              </w:rPr>
            </w:pPr>
            <w:r>
              <w:rPr>
                <w:rFonts w:hint="eastAsia" w:ascii="宋体" w:hAnsi="宋体" w:eastAsia="宋体" w:cs="黑体"/>
                <w:b/>
                <w:bCs/>
              </w:rPr>
              <w:t>英文名称</w:t>
            </w:r>
          </w:p>
        </w:tc>
        <w:tc>
          <w:tcPr>
            <w:tcW w:w="3685" w:type="dxa"/>
            <w:vAlign w:val="center"/>
          </w:tcPr>
          <w:p>
            <w:pPr>
              <w:spacing w:before="156" w:beforeLines="50" w:after="156" w:afterLines="50"/>
              <w:jc w:val="left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E-commerce case study</w:t>
            </w:r>
          </w:p>
        </w:tc>
        <w:tc>
          <w:tcPr>
            <w:tcW w:w="1134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 w:cs="黑体"/>
                <w:b/>
                <w:bCs/>
              </w:rPr>
            </w:pPr>
            <w:r>
              <w:rPr>
                <w:rFonts w:hint="eastAsia" w:ascii="宋体" w:hAnsi="宋体" w:eastAsia="宋体" w:cs="黑体"/>
                <w:b/>
                <w:bCs/>
              </w:rPr>
              <w:t>课程代码</w:t>
            </w:r>
          </w:p>
        </w:tc>
        <w:tc>
          <w:tcPr>
            <w:tcW w:w="274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ELBU2009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5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 w:cs="黑体"/>
                <w:b/>
                <w:bCs/>
              </w:rPr>
            </w:pPr>
            <w:r>
              <w:rPr>
                <w:rFonts w:hint="eastAsia" w:ascii="宋体" w:hAnsi="宋体" w:eastAsia="宋体" w:cs="黑体"/>
                <w:b/>
                <w:bCs/>
              </w:rPr>
              <w:t>课程性质</w:t>
            </w:r>
          </w:p>
        </w:tc>
        <w:tc>
          <w:tcPr>
            <w:tcW w:w="3685" w:type="dxa"/>
            <w:vAlign w:val="center"/>
          </w:tcPr>
          <w:p>
            <w:pPr>
              <w:spacing w:before="156" w:beforeLines="50" w:after="156" w:afterLines="50"/>
              <w:jc w:val="left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专业选修</w:t>
            </w:r>
          </w:p>
        </w:tc>
        <w:tc>
          <w:tcPr>
            <w:tcW w:w="1134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 w:cs="黑体"/>
                <w:b/>
                <w:bCs/>
              </w:rPr>
            </w:pPr>
            <w:r>
              <w:rPr>
                <w:rFonts w:hint="eastAsia" w:ascii="宋体" w:hAnsi="宋体" w:eastAsia="宋体" w:cs="黑体"/>
                <w:b/>
                <w:bCs/>
              </w:rPr>
              <w:t>授课对象</w:t>
            </w:r>
          </w:p>
        </w:tc>
        <w:tc>
          <w:tcPr>
            <w:tcW w:w="2744" w:type="dxa"/>
            <w:vAlign w:val="center"/>
          </w:tcPr>
          <w:p>
            <w:pPr>
              <w:spacing w:before="156" w:beforeLines="50" w:after="156" w:afterLines="50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本科生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5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 w:cs="黑体"/>
                <w:b/>
                <w:bCs/>
              </w:rPr>
            </w:pPr>
            <w:r>
              <w:rPr>
                <w:rFonts w:hint="eastAsia" w:ascii="宋体" w:hAnsi="宋体" w:eastAsia="宋体" w:cs="黑体"/>
                <w:b/>
                <w:bCs/>
              </w:rPr>
              <w:t>学   分</w:t>
            </w:r>
          </w:p>
        </w:tc>
        <w:tc>
          <w:tcPr>
            <w:tcW w:w="3685" w:type="dxa"/>
            <w:vAlign w:val="center"/>
          </w:tcPr>
          <w:p>
            <w:pPr>
              <w:spacing w:before="156" w:beforeLines="50" w:after="156" w:afterLines="50"/>
              <w:jc w:val="left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2</w:t>
            </w:r>
          </w:p>
        </w:tc>
        <w:tc>
          <w:tcPr>
            <w:tcW w:w="1134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 w:cs="黑体"/>
                <w:b/>
                <w:bCs/>
              </w:rPr>
            </w:pPr>
            <w:r>
              <w:rPr>
                <w:rFonts w:hint="eastAsia" w:ascii="宋体" w:hAnsi="宋体" w:eastAsia="宋体" w:cs="黑体"/>
                <w:b/>
                <w:bCs/>
              </w:rPr>
              <w:t>学   时</w:t>
            </w:r>
          </w:p>
        </w:tc>
        <w:tc>
          <w:tcPr>
            <w:tcW w:w="2744" w:type="dxa"/>
            <w:vAlign w:val="center"/>
          </w:tcPr>
          <w:p>
            <w:pPr>
              <w:spacing w:before="156" w:beforeLines="50" w:after="156" w:afterLines="50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5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 w:cs="黑体"/>
                <w:b/>
                <w:bCs/>
              </w:rPr>
            </w:pPr>
            <w:r>
              <w:rPr>
                <w:rFonts w:hint="eastAsia" w:ascii="宋体" w:hAnsi="宋体" w:eastAsia="宋体" w:cs="黑体"/>
                <w:b/>
                <w:bCs/>
              </w:rPr>
              <w:t>主讲教师</w:t>
            </w:r>
          </w:p>
        </w:tc>
        <w:tc>
          <w:tcPr>
            <w:tcW w:w="3685" w:type="dxa"/>
            <w:vAlign w:val="center"/>
          </w:tcPr>
          <w:p>
            <w:pPr>
              <w:spacing w:before="156" w:beforeLines="50" w:after="156" w:afterLines="50"/>
              <w:jc w:val="left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王丹萍</w:t>
            </w:r>
          </w:p>
        </w:tc>
        <w:tc>
          <w:tcPr>
            <w:tcW w:w="1134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 w:cs="黑体"/>
                <w:b/>
                <w:bCs/>
              </w:rPr>
            </w:pPr>
            <w:r>
              <w:rPr>
                <w:rFonts w:hint="eastAsia" w:ascii="宋体" w:hAnsi="宋体" w:eastAsia="宋体" w:cs="黑体"/>
                <w:b/>
                <w:bCs/>
              </w:rPr>
              <w:t>修订日期</w:t>
            </w:r>
          </w:p>
        </w:tc>
        <w:tc>
          <w:tcPr>
            <w:tcW w:w="2744" w:type="dxa"/>
            <w:vAlign w:val="center"/>
          </w:tcPr>
          <w:p>
            <w:pPr>
              <w:spacing w:before="156" w:beforeLines="50" w:after="156" w:afterLines="50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2022.9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5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 w:cs="黑体"/>
                <w:b/>
                <w:bCs/>
              </w:rPr>
            </w:pPr>
            <w:r>
              <w:rPr>
                <w:rFonts w:hint="eastAsia" w:ascii="宋体" w:hAnsi="宋体" w:eastAsia="宋体" w:cs="黑体"/>
                <w:b/>
                <w:bCs/>
              </w:rPr>
              <w:t>指定教材</w:t>
            </w:r>
          </w:p>
        </w:tc>
        <w:tc>
          <w:tcPr>
            <w:tcW w:w="7563" w:type="dxa"/>
            <w:gridSpan w:val="3"/>
            <w:vAlign w:val="center"/>
          </w:tcPr>
          <w:p>
            <w:pPr>
              <w:spacing w:before="156" w:beforeLines="50" w:after="156" w:afterLines="50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《电子商务案例分析》，王丹萍，复旦大学出版社，2018</w:t>
            </w:r>
          </w:p>
        </w:tc>
      </w:tr>
    </w:tbl>
    <w:p>
      <w:pPr>
        <w:pStyle w:val="4"/>
        <w:spacing w:before="156" w:beforeLines="50" w:after="156" w:afterLines="50"/>
        <w:ind w:firstLine="562" w:firstLineChars="200"/>
        <w:rPr>
          <w:rFonts w:hint="eastAsia" w:hAnsi="宋体" w:eastAsia="黑体" w:cs="宋体"/>
          <w:lang w:eastAsia="zh-CN"/>
        </w:rPr>
      </w:pPr>
      <w:r>
        <w:rPr>
          <w:rFonts w:hint="eastAsia" w:ascii="黑体" w:hAnsi="黑体" w:eastAsia="黑体" w:cs="宋体"/>
          <w:b/>
          <w:sz w:val="28"/>
          <w:szCs w:val="28"/>
        </w:rPr>
        <w:t>二、课程目标</w:t>
      </w:r>
    </w:p>
    <w:p>
      <w:pPr>
        <w:pStyle w:val="4"/>
        <w:spacing w:before="156" w:beforeLines="50" w:after="156" w:afterLines="50"/>
        <w:ind w:firstLine="480" w:firstLineChars="200"/>
        <w:rPr>
          <w:rFonts w:hint="eastAsia" w:ascii="黑体" w:hAnsi="黑体" w:eastAsia="黑体" w:cs="宋体"/>
          <w:b/>
          <w:sz w:val="24"/>
          <w:szCs w:val="24"/>
          <w:lang w:eastAsia="zh-CN"/>
        </w:rPr>
      </w:pPr>
      <w:r>
        <w:rPr>
          <w:rFonts w:hint="eastAsia" w:ascii="黑体" w:hAnsi="黑体" w:eastAsia="黑体" w:cs="宋体"/>
          <w:sz w:val="24"/>
          <w:szCs w:val="24"/>
        </w:rPr>
        <w:t>（一）</w:t>
      </w:r>
      <w:r>
        <w:rPr>
          <w:rFonts w:hint="eastAsia" w:ascii="黑体" w:hAnsi="黑体" w:eastAsia="黑体" w:cs="宋体"/>
          <w:b/>
          <w:sz w:val="24"/>
          <w:szCs w:val="24"/>
        </w:rPr>
        <w:t>总体目标：</w:t>
      </w:r>
    </w:p>
    <w:p>
      <w:pPr>
        <w:pStyle w:val="4"/>
        <w:spacing w:before="156" w:beforeLines="50" w:after="156" w:afterLines="50"/>
        <w:ind w:firstLine="420" w:firstLineChars="200"/>
        <w:rPr>
          <w:rFonts w:hAnsi="宋体" w:cs="宋体"/>
        </w:rPr>
      </w:pPr>
      <w:r>
        <w:rPr>
          <w:rFonts w:hint="eastAsia" w:hAnsi="宋体" w:cs="宋体"/>
        </w:rPr>
        <w:t>通过电子商务知识与技能、过程与方法、情感态度与价值观的形式反映核心素养观念和内容，</w:t>
      </w:r>
      <w:r>
        <w:rPr>
          <w:rFonts w:hAnsi="宋体" w:cs="宋体"/>
        </w:rPr>
        <w:t>不仅关注学生“当下发展”，更关注学生“未来发展”所需要的正确价值观念、必备品格和关键能力</w:t>
      </w:r>
      <w:r>
        <w:rPr>
          <w:rFonts w:hint="eastAsia" w:hAnsi="宋体" w:cs="宋体"/>
        </w:rPr>
        <w:t>。</w:t>
      </w:r>
    </w:p>
    <w:p>
      <w:pPr>
        <w:pStyle w:val="4"/>
        <w:spacing w:before="156" w:beforeLines="50" w:after="156" w:afterLines="50"/>
        <w:ind w:firstLine="480" w:firstLineChars="200"/>
        <w:rPr>
          <w:rFonts w:hint="eastAsia" w:hAnsi="宋体" w:eastAsia="黑体" w:cs="宋体"/>
          <w:lang w:eastAsia="zh-CN"/>
        </w:rPr>
      </w:pPr>
      <w:r>
        <w:rPr>
          <w:rFonts w:hint="eastAsia" w:ascii="黑体" w:hAnsi="黑体" w:eastAsia="黑体" w:cs="宋体"/>
          <w:sz w:val="24"/>
          <w:szCs w:val="24"/>
        </w:rPr>
        <w:t>（二）课程目标：</w:t>
      </w:r>
    </w:p>
    <w:p>
      <w:pPr>
        <w:pStyle w:val="4"/>
        <w:spacing w:before="156" w:beforeLines="50" w:after="156" w:afterLines="50"/>
        <w:ind w:firstLine="420" w:firstLineChars="200"/>
        <w:rPr>
          <w:rFonts w:hint="eastAsia" w:hAnsi="宋体" w:eastAsia="宋体" w:cs="宋体"/>
          <w:lang w:eastAsia="zh-CN"/>
        </w:rPr>
      </w:pPr>
      <w:r>
        <w:rPr>
          <w:rFonts w:hint="eastAsia" w:hAnsi="宋体" w:cs="宋体"/>
        </w:rPr>
        <w:t>通过案例分析，帮助学生巩固电子商务的相关基本概念和理论，掌握案例分析的基本方法，并通过课堂讨论和小组作业等方式提高其英语交流能力。</w:t>
      </w:r>
    </w:p>
    <w:p>
      <w:pPr>
        <w:pStyle w:val="4"/>
        <w:spacing w:before="156" w:beforeLines="50" w:after="156" w:afterLines="50"/>
        <w:ind w:firstLine="422" w:firstLineChars="200"/>
        <w:rPr>
          <w:rFonts w:hAnsi="宋体" w:cs="宋体"/>
          <w:b/>
        </w:rPr>
      </w:pPr>
      <w:r>
        <w:rPr>
          <w:rFonts w:hint="eastAsia" w:hAnsi="宋体" w:cs="宋体"/>
          <w:b/>
        </w:rPr>
        <w:t>课程目标1：巩固电子商务的相关基本概念和理论</w:t>
      </w:r>
    </w:p>
    <w:p>
      <w:pPr>
        <w:pStyle w:val="4"/>
        <w:spacing w:before="156" w:beforeLines="50" w:after="156" w:afterLines="50"/>
        <w:ind w:firstLine="420" w:firstLineChars="200"/>
        <w:rPr>
          <w:rFonts w:hAnsi="宋体" w:cs="宋体"/>
        </w:rPr>
      </w:pPr>
      <w:r>
        <w:rPr>
          <w:rFonts w:hint="eastAsia" w:hAnsi="宋体" w:cs="宋体"/>
        </w:rPr>
        <w:t>1．1 电子商务的相关基本概念</w:t>
      </w:r>
    </w:p>
    <w:p>
      <w:pPr>
        <w:pStyle w:val="4"/>
        <w:spacing w:before="156" w:beforeLines="50" w:after="156" w:afterLines="50"/>
        <w:ind w:firstLine="420" w:firstLineChars="200"/>
        <w:rPr>
          <w:rFonts w:hAnsi="宋体" w:cs="宋体"/>
        </w:rPr>
      </w:pPr>
      <w:r>
        <w:rPr>
          <w:rFonts w:hAnsi="宋体" w:cs="宋体"/>
        </w:rPr>
        <w:t>1</w:t>
      </w:r>
      <w:r>
        <w:rPr>
          <w:rFonts w:hint="eastAsia" w:hAnsi="宋体" w:cs="宋体"/>
        </w:rPr>
        <w:t>．2 电子商务的相关基础理论</w:t>
      </w:r>
    </w:p>
    <w:p>
      <w:pPr>
        <w:pStyle w:val="4"/>
        <w:spacing w:before="156" w:beforeLines="50" w:after="156" w:afterLines="50"/>
        <w:ind w:firstLine="422" w:firstLineChars="200"/>
        <w:rPr>
          <w:rFonts w:hAnsi="宋体" w:cs="宋体"/>
          <w:b/>
        </w:rPr>
      </w:pPr>
      <w:r>
        <w:rPr>
          <w:rFonts w:hint="eastAsia" w:hAnsi="宋体" w:cs="宋体"/>
          <w:b/>
        </w:rPr>
        <w:t>课程目标2：掌握案例分析的基本方法</w:t>
      </w:r>
    </w:p>
    <w:p>
      <w:pPr>
        <w:pStyle w:val="4"/>
        <w:spacing w:before="156" w:beforeLines="50" w:after="156" w:afterLines="50"/>
        <w:ind w:firstLine="420" w:firstLineChars="200"/>
        <w:rPr>
          <w:rFonts w:hAnsi="宋体" w:cs="宋体"/>
        </w:rPr>
      </w:pPr>
      <w:r>
        <w:rPr>
          <w:rFonts w:hint="eastAsia" w:hAnsi="宋体" w:cs="宋体"/>
        </w:rPr>
        <w:t>2．1 SWOT分析法</w:t>
      </w:r>
    </w:p>
    <w:p>
      <w:pPr>
        <w:pStyle w:val="4"/>
        <w:spacing w:before="156" w:beforeLines="50" w:after="156" w:afterLines="50"/>
        <w:ind w:firstLine="420" w:firstLineChars="200"/>
        <w:rPr>
          <w:rFonts w:hAnsi="宋体" w:cs="宋体"/>
        </w:rPr>
      </w:pPr>
      <w:r>
        <w:rPr>
          <w:rFonts w:hAnsi="宋体" w:cs="宋体"/>
        </w:rPr>
        <w:t>2</w:t>
      </w:r>
      <w:r>
        <w:rPr>
          <w:rFonts w:hint="eastAsia" w:hAnsi="宋体" w:cs="宋体"/>
        </w:rPr>
        <w:t>．2 比较分析法</w:t>
      </w:r>
    </w:p>
    <w:p>
      <w:pPr>
        <w:pStyle w:val="4"/>
        <w:spacing w:before="156" w:beforeLines="50" w:after="156" w:afterLines="50"/>
        <w:ind w:firstLine="422" w:firstLineChars="200"/>
        <w:rPr>
          <w:rFonts w:hAnsi="宋体" w:cs="宋体"/>
          <w:b/>
        </w:rPr>
      </w:pPr>
      <w:r>
        <w:rPr>
          <w:rFonts w:hint="eastAsia" w:hAnsi="宋体" w:cs="宋体"/>
          <w:b/>
        </w:rPr>
        <w:t>课程目标3：提高其英语交流能力</w:t>
      </w:r>
    </w:p>
    <w:p>
      <w:pPr>
        <w:pStyle w:val="4"/>
        <w:spacing w:before="156" w:beforeLines="50" w:after="156" w:afterLines="50"/>
        <w:ind w:firstLine="420" w:firstLineChars="200"/>
        <w:rPr>
          <w:rFonts w:hAnsi="宋体" w:cs="宋体"/>
        </w:rPr>
      </w:pPr>
      <w:r>
        <w:rPr>
          <w:rFonts w:hint="eastAsia" w:hAnsi="宋体" w:cs="宋体"/>
        </w:rPr>
        <w:t>3.1 提高英语口头表达能力</w:t>
      </w:r>
    </w:p>
    <w:p>
      <w:pPr>
        <w:pStyle w:val="4"/>
        <w:spacing w:before="156" w:beforeLines="50" w:after="156" w:afterLines="50"/>
        <w:ind w:firstLine="420" w:firstLineChars="200"/>
        <w:rPr>
          <w:rFonts w:hAnsi="宋体" w:cs="宋体"/>
        </w:rPr>
      </w:pPr>
      <w:r>
        <w:rPr>
          <w:rFonts w:hint="eastAsia" w:hAnsi="宋体" w:cs="宋体"/>
        </w:rPr>
        <w:t>3.2 提高英语书面表达能力</w:t>
      </w:r>
    </w:p>
    <w:p>
      <w:pPr>
        <w:pStyle w:val="4"/>
        <w:spacing w:before="156" w:beforeLines="50" w:after="156" w:afterLines="50"/>
        <w:ind w:firstLine="420" w:firstLineChars="200"/>
        <w:rPr>
          <w:rFonts w:hint="eastAsia" w:hAnsi="宋体" w:eastAsia="宋体" w:cs="宋体"/>
          <w:lang w:eastAsia="zh-CN"/>
        </w:rPr>
      </w:pPr>
      <w:r>
        <w:rPr>
          <w:rFonts w:hint="eastAsia" w:hAnsi="宋体" w:cs="宋体"/>
        </w:rPr>
        <w:t>（要求参照《普通高等学校本科专业类教学质量国家标准》，对应各类专业认证标准，注意对毕业要求支撑程度强弱的描述，与课程目标对毕业要求的支撑关系表一致）</w:t>
      </w:r>
    </w:p>
    <w:p>
      <w:pPr>
        <w:pStyle w:val="4"/>
        <w:spacing w:before="156" w:beforeLines="50" w:after="156" w:afterLines="50"/>
        <w:ind w:firstLine="480" w:firstLineChars="200"/>
        <w:rPr>
          <w:rFonts w:hint="eastAsia" w:hAnsi="宋体" w:eastAsia="黑体" w:cs="宋体"/>
          <w:lang w:eastAsia="zh-CN"/>
        </w:rPr>
      </w:pPr>
      <w:r>
        <w:rPr>
          <w:rFonts w:hint="eastAsia" w:ascii="黑体" w:hAnsi="黑体" w:eastAsia="黑体" w:cs="宋体"/>
          <w:sz w:val="24"/>
          <w:szCs w:val="24"/>
        </w:rPr>
        <w:t>（三）课程目标与毕业要求、课程内容的对应关系</w:t>
      </w:r>
    </w:p>
    <w:p>
      <w:pPr>
        <w:pStyle w:val="4"/>
        <w:spacing w:before="156" w:beforeLines="50" w:after="156" w:afterLines="50"/>
        <w:ind w:firstLine="422" w:firstLineChars="200"/>
        <w:jc w:val="center"/>
        <w:rPr>
          <w:rFonts w:hint="eastAsia" w:ascii="黑体" w:hAnsi="宋体" w:eastAsia="宋体"/>
          <w:b/>
          <w:bCs/>
          <w:szCs w:val="21"/>
          <w:lang w:eastAsia="zh-CN"/>
        </w:rPr>
      </w:pPr>
      <w:r>
        <w:rPr>
          <w:rFonts w:hint="eastAsia" w:ascii="黑体" w:hAnsi="宋体"/>
          <w:b/>
          <w:bCs/>
          <w:szCs w:val="21"/>
        </w:rPr>
        <w:t xml:space="preserve">表1：课程目标与课程内容、毕业要求的对应关系表 </w:t>
      </w:r>
    </w:p>
    <w:tbl>
      <w:tblPr>
        <w:tblStyle w:val="8"/>
        <w:tblW w:w="90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2"/>
        <w:gridCol w:w="1959"/>
        <w:gridCol w:w="3118"/>
        <w:gridCol w:w="26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2" w:type="dxa"/>
            <w:vAlign w:val="center"/>
          </w:tcPr>
          <w:p>
            <w:pPr>
              <w:pStyle w:val="4"/>
              <w:spacing w:before="156" w:beforeLines="50" w:after="156" w:afterLines="50"/>
              <w:jc w:val="center"/>
              <w:rPr>
                <w:rFonts w:ascii="黑体" w:hAnsi="宋体"/>
                <w:b/>
                <w:bCs/>
                <w:szCs w:val="21"/>
              </w:rPr>
            </w:pPr>
            <w:r>
              <w:rPr>
                <w:rFonts w:hint="eastAsia" w:ascii="黑体" w:hAnsi="宋体"/>
                <w:b/>
                <w:bCs/>
                <w:szCs w:val="21"/>
              </w:rPr>
              <w:t>课程目标</w:t>
            </w:r>
          </w:p>
        </w:tc>
        <w:tc>
          <w:tcPr>
            <w:tcW w:w="1959" w:type="dxa"/>
            <w:vAlign w:val="center"/>
          </w:tcPr>
          <w:p>
            <w:pPr>
              <w:pStyle w:val="4"/>
              <w:spacing w:before="156" w:beforeLines="50" w:after="156" w:afterLines="50"/>
              <w:jc w:val="center"/>
              <w:rPr>
                <w:rFonts w:hAnsi="宋体" w:cs="宋体"/>
                <w:b/>
              </w:rPr>
            </w:pPr>
            <w:r>
              <w:rPr>
                <w:rFonts w:hint="eastAsia" w:hAnsi="宋体" w:cs="宋体"/>
                <w:b/>
              </w:rPr>
              <w:t>课程子目标</w:t>
            </w:r>
          </w:p>
        </w:tc>
        <w:tc>
          <w:tcPr>
            <w:tcW w:w="3118" w:type="dxa"/>
            <w:vAlign w:val="center"/>
          </w:tcPr>
          <w:p>
            <w:pPr>
              <w:pStyle w:val="4"/>
              <w:spacing w:before="156" w:beforeLines="50" w:after="156" w:afterLines="50"/>
              <w:jc w:val="center"/>
              <w:rPr>
                <w:rFonts w:ascii="黑体" w:hAnsi="宋体"/>
                <w:b/>
                <w:bCs/>
                <w:szCs w:val="21"/>
              </w:rPr>
            </w:pPr>
            <w:r>
              <w:rPr>
                <w:rFonts w:hint="eastAsia" w:ascii="黑体" w:hAnsi="宋体"/>
                <w:b/>
                <w:bCs/>
                <w:szCs w:val="21"/>
              </w:rPr>
              <w:t>对应课程内容</w:t>
            </w:r>
          </w:p>
        </w:tc>
        <w:tc>
          <w:tcPr>
            <w:tcW w:w="2688" w:type="dxa"/>
            <w:vAlign w:val="center"/>
          </w:tcPr>
          <w:p>
            <w:pPr>
              <w:pStyle w:val="4"/>
              <w:spacing w:before="156" w:beforeLines="50" w:after="156" w:afterLines="50"/>
              <w:jc w:val="center"/>
              <w:rPr>
                <w:rFonts w:ascii="黑体" w:hAnsi="宋体"/>
                <w:b/>
                <w:bCs/>
                <w:szCs w:val="21"/>
              </w:rPr>
            </w:pPr>
            <w:r>
              <w:rPr>
                <w:rFonts w:hint="eastAsia" w:ascii="黑体" w:hAnsi="宋体"/>
                <w:b/>
                <w:bCs/>
                <w:szCs w:val="21"/>
              </w:rPr>
              <w:t>对应毕业要求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2" w:type="dxa"/>
            <w:vMerge w:val="restart"/>
            <w:vAlign w:val="center"/>
          </w:tcPr>
          <w:p>
            <w:pPr>
              <w:pStyle w:val="4"/>
              <w:spacing w:before="156" w:beforeLines="50" w:after="156" w:afterLines="50"/>
              <w:jc w:val="center"/>
              <w:rPr>
                <w:rFonts w:hAnsi="宋体" w:cs="宋体"/>
                <w:szCs w:val="21"/>
              </w:rPr>
            </w:pPr>
            <w:r>
              <w:rPr>
                <w:rFonts w:hint="eastAsia" w:hAnsi="宋体" w:cs="宋体"/>
                <w:szCs w:val="21"/>
              </w:rPr>
              <w:t>课程目标1</w:t>
            </w:r>
          </w:p>
        </w:tc>
        <w:tc>
          <w:tcPr>
            <w:tcW w:w="1959" w:type="dxa"/>
            <w:vAlign w:val="center"/>
          </w:tcPr>
          <w:p>
            <w:pPr>
              <w:pStyle w:val="4"/>
              <w:spacing w:before="156" w:beforeLines="50" w:after="156" w:afterLines="50"/>
              <w:jc w:val="center"/>
              <w:rPr>
                <w:rFonts w:hAnsi="宋体" w:cs="宋体"/>
              </w:rPr>
            </w:pPr>
            <w:r>
              <w:rPr>
                <w:rFonts w:hint="eastAsia" w:hAnsi="宋体" w:cs="宋体"/>
              </w:rPr>
              <w:t>1.1</w:t>
            </w:r>
          </w:p>
        </w:tc>
        <w:tc>
          <w:tcPr>
            <w:tcW w:w="3118" w:type="dxa"/>
            <w:vAlign w:val="center"/>
          </w:tcPr>
          <w:p>
            <w:pPr>
              <w:pStyle w:val="4"/>
              <w:spacing w:before="156" w:beforeLines="50" w:after="156" w:afterLines="50"/>
              <w:ind w:firstLine="420" w:firstLineChars="200"/>
              <w:rPr>
                <w:rFonts w:hAnsi="宋体" w:cs="宋体"/>
              </w:rPr>
            </w:pPr>
            <w:r>
              <w:rPr>
                <w:rFonts w:hint="eastAsia" w:hAnsi="宋体" w:cs="宋体"/>
              </w:rPr>
              <w:t>电子商务的相关基本概念</w:t>
            </w:r>
          </w:p>
        </w:tc>
        <w:tc>
          <w:tcPr>
            <w:tcW w:w="2688" w:type="dxa"/>
            <w:vAlign w:val="center"/>
          </w:tcPr>
          <w:p>
            <w:pPr>
              <w:pStyle w:val="4"/>
              <w:spacing w:before="156" w:beforeLines="50" w:after="156" w:afterLines="50"/>
              <w:jc w:val="center"/>
              <w:rPr>
                <w:rFonts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2" w:type="dxa"/>
            <w:vMerge w:val="continue"/>
            <w:vAlign w:val="center"/>
          </w:tcPr>
          <w:p>
            <w:pPr>
              <w:pStyle w:val="4"/>
              <w:spacing w:before="156" w:beforeLines="50" w:after="156" w:afterLines="50"/>
              <w:jc w:val="center"/>
              <w:rPr>
                <w:rFonts w:hAnsi="宋体" w:cs="宋体"/>
                <w:szCs w:val="21"/>
              </w:rPr>
            </w:pPr>
          </w:p>
        </w:tc>
        <w:tc>
          <w:tcPr>
            <w:tcW w:w="1959" w:type="dxa"/>
            <w:vAlign w:val="center"/>
          </w:tcPr>
          <w:p>
            <w:pPr>
              <w:pStyle w:val="4"/>
              <w:spacing w:before="156" w:beforeLines="50" w:after="156" w:afterLines="50"/>
              <w:jc w:val="center"/>
              <w:rPr>
                <w:rFonts w:hAnsi="宋体" w:cs="宋体"/>
              </w:rPr>
            </w:pPr>
            <w:r>
              <w:rPr>
                <w:rFonts w:hint="eastAsia" w:hAnsi="宋体" w:cs="宋体"/>
              </w:rPr>
              <w:t>1.2</w:t>
            </w:r>
          </w:p>
        </w:tc>
        <w:tc>
          <w:tcPr>
            <w:tcW w:w="3118" w:type="dxa"/>
            <w:vAlign w:val="center"/>
          </w:tcPr>
          <w:p>
            <w:pPr>
              <w:pStyle w:val="4"/>
              <w:spacing w:before="156" w:beforeLines="50" w:after="156" w:afterLines="50"/>
              <w:ind w:firstLine="420" w:firstLineChars="200"/>
              <w:rPr>
                <w:rFonts w:hAnsi="宋体" w:cs="宋体"/>
              </w:rPr>
            </w:pPr>
            <w:r>
              <w:rPr>
                <w:rFonts w:hint="eastAsia" w:hAnsi="宋体" w:cs="宋体"/>
              </w:rPr>
              <w:t>电子商务的相关基础理论</w:t>
            </w:r>
          </w:p>
        </w:tc>
        <w:tc>
          <w:tcPr>
            <w:tcW w:w="2688" w:type="dxa"/>
            <w:vAlign w:val="center"/>
          </w:tcPr>
          <w:p>
            <w:pPr>
              <w:pStyle w:val="4"/>
              <w:spacing w:before="156" w:beforeLines="50" w:after="156" w:afterLines="50"/>
              <w:jc w:val="center"/>
              <w:rPr>
                <w:rFonts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2" w:type="dxa"/>
            <w:vMerge w:val="restart"/>
            <w:vAlign w:val="center"/>
          </w:tcPr>
          <w:p>
            <w:pPr>
              <w:pStyle w:val="4"/>
              <w:spacing w:before="156" w:beforeLines="50" w:after="156" w:afterLines="50"/>
              <w:jc w:val="center"/>
              <w:rPr>
                <w:rFonts w:hAnsi="宋体" w:cs="宋体"/>
                <w:szCs w:val="21"/>
              </w:rPr>
            </w:pPr>
            <w:r>
              <w:rPr>
                <w:rFonts w:hint="eastAsia" w:hAnsi="宋体" w:cs="宋体"/>
                <w:szCs w:val="21"/>
              </w:rPr>
              <w:t>课程目标2</w:t>
            </w:r>
          </w:p>
        </w:tc>
        <w:tc>
          <w:tcPr>
            <w:tcW w:w="1959" w:type="dxa"/>
            <w:vAlign w:val="center"/>
          </w:tcPr>
          <w:p>
            <w:pPr>
              <w:pStyle w:val="4"/>
              <w:spacing w:before="156" w:beforeLines="50" w:after="156" w:afterLines="50"/>
              <w:jc w:val="center"/>
              <w:rPr>
                <w:rFonts w:hAnsi="宋体" w:cs="宋体"/>
              </w:rPr>
            </w:pPr>
            <w:r>
              <w:rPr>
                <w:rFonts w:hint="eastAsia" w:hAnsi="宋体" w:cs="宋体"/>
              </w:rPr>
              <w:t>2.1</w:t>
            </w:r>
          </w:p>
        </w:tc>
        <w:tc>
          <w:tcPr>
            <w:tcW w:w="3118" w:type="dxa"/>
            <w:vAlign w:val="center"/>
          </w:tcPr>
          <w:p>
            <w:pPr>
              <w:pStyle w:val="4"/>
              <w:spacing w:before="156" w:beforeLines="50" w:after="156" w:afterLines="50"/>
              <w:ind w:firstLine="420" w:firstLineChars="200"/>
              <w:rPr>
                <w:rFonts w:hAnsi="宋体" w:cs="宋体"/>
              </w:rPr>
            </w:pPr>
            <w:r>
              <w:rPr>
                <w:rFonts w:hint="eastAsia" w:hAnsi="宋体" w:cs="宋体"/>
              </w:rPr>
              <w:t>SWOT分析法</w:t>
            </w:r>
          </w:p>
        </w:tc>
        <w:tc>
          <w:tcPr>
            <w:tcW w:w="2688" w:type="dxa"/>
            <w:vAlign w:val="center"/>
          </w:tcPr>
          <w:p>
            <w:pPr>
              <w:pStyle w:val="4"/>
              <w:spacing w:before="156" w:beforeLines="50" w:after="156" w:afterLines="50"/>
              <w:jc w:val="center"/>
              <w:rPr>
                <w:rFonts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2" w:type="dxa"/>
            <w:vMerge w:val="continue"/>
            <w:vAlign w:val="center"/>
          </w:tcPr>
          <w:p>
            <w:pPr>
              <w:pStyle w:val="4"/>
              <w:spacing w:before="156" w:beforeLines="50" w:after="156" w:afterLines="50"/>
              <w:jc w:val="center"/>
              <w:rPr>
                <w:rFonts w:hAnsi="宋体" w:cs="宋体"/>
                <w:szCs w:val="21"/>
              </w:rPr>
            </w:pPr>
          </w:p>
        </w:tc>
        <w:tc>
          <w:tcPr>
            <w:tcW w:w="1959" w:type="dxa"/>
            <w:vAlign w:val="center"/>
          </w:tcPr>
          <w:p>
            <w:pPr>
              <w:pStyle w:val="4"/>
              <w:spacing w:before="156" w:beforeLines="50" w:after="156" w:afterLines="50"/>
              <w:jc w:val="center"/>
              <w:rPr>
                <w:rFonts w:hAnsi="宋体" w:cs="宋体"/>
              </w:rPr>
            </w:pPr>
            <w:r>
              <w:rPr>
                <w:rFonts w:hint="eastAsia" w:hAnsi="宋体" w:cs="宋体"/>
              </w:rPr>
              <w:t>2.2</w:t>
            </w:r>
          </w:p>
        </w:tc>
        <w:tc>
          <w:tcPr>
            <w:tcW w:w="3118" w:type="dxa"/>
            <w:vAlign w:val="center"/>
          </w:tcPr>
          <w:p>
            <w:pPr>
              <w:pStyle w:val="4"/>
              <w:spacing w:before="156" w:beforeLines="50" w:after="156" w:afterLines="50"/>
              <w:ind w:firstLine="420" w:firstLineChars="200"/>
              <w:rPr>
                <w:rFonts w:ascii="黑体" w:hAnsi="宋体"/>
                <w:b/>
                <w:bCs/>
                <w:szCs w:val="21"/>
              </w:rPr>
            </w:pPr>
            <w:r>
              <w:rPr>
                <w:rFonts w:hint="eastAsia" w:hAnsi="宋体" w:cs="宋体"/>
              </w:rPr>
              <w:t>比较分析法</w:t>
            </w:r>
          </w:p>
        </w:tc>
        <w:tc>
          <w:tcPr>
            <w:tcW w:w="2688" w:type="dxa"/>
            <w:vAlign w:val="center"/>
          </w:tcPr>
          <w:p>
            <w:pPr>
              <w:pStyle w:val="4"/>
              <w:spacing w:before="156" w:beforeLines="50" w:after="156" w:afterLines="50"/>
              <w:jc w:val="center"/>
              <w:rPr>
                <w:rFonts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2" w:type="dxa"/>
            <w:vMerge w:val="restart"/>
            <w:vAlign w:val="center"/>
          </w:tcPr>
          <w:p>
            <w:pPr>
              <w:pStyle w:val="4"/>
              <w:spacing w:before="156" w:beforeLines="50" w:after="156" w:afterLines="50"/>
              <w:jc w:val="center"/>
              <w:rPr>
                <w:rFonts w:hAnsi="宋体" w:cs="宋体"/>
                <w:szCs w:val="21"/>
              </w:rPr>
            </w:pPr>
            <w:r>
              <w:rPr>
                <w:rFonts w:hint="eastAsia" w:hAnsi="宋体" w:cs="宋体"/>
                <w:szCs w:val="21"/>
              </w:rPr>
              <w:t>课程目标3</w:t>
            </w:r>
          </w:p>
        </w:tc>
        <w:tc>
          <w:tcPr>
            <w:tcW w:w="1959" w:type="dxa"/>
            <w:vAlign w:val="center"/>
          </w:tcPr>
          <w:p>
            <w:pPr>
              <w:pStyle w:val="4"/>
              <w:spacing w:before="156" w:beforeLines="50" w:after="156" w:afterLines="50"/>
              <w:jc w:val="center"/>
              <w:rPr>
                <w:rFonts w:hAnsi="宋体" w:cs="宋体"/>
              </w:rPr>
            </w:pPr>
            <w:r>
              <w:rPr>
                <w:rFonts w:hint="eastAsia" w:hAnsi="宋体" w:cs="宋体"/>
                <w:szCs w:val="21"/>
              </w:rPr>
              <w:t>3.1</w:t>
            </w:r>
          </w:p>
        </w:tc>
        <w:tc>
          <w:tcPr>
            <w:tcW w:w="3118" w:type="dxa"/>
            <w:vAlign w:val="center"/>
          </w:tcPr>
          <w:p>
            <w:pPr>
              <w:pStyle w:val="4"/>
              <w:spacing w:before="156" w:beforeLines="50" w:after="156" w:afterLines="50"/>
              <w:ind w:firstLine="420" w:firstLineChars="200"/>
              <w:rPr>
                <w:rFonts w:ascii="黑体" w:hAnsi="宋体"/>
                <w:b/>
                <w:bCs/>
                <w:szCs w:val="21"/>
              </w:rPr>
            </w:pPr>
            <w:r>
              <w:rPr>
                <w:rFonts w:hint="eastAsia" w:hAnsi="宋体" w:cs="宋体"/>
              </w:rPr>
              <w:t>提高英语口头表达能力</w:t>
            </w:r>
          </w:p>
        </w:tc>
        <w:tc>
          <w:tcPr>
            <w:tcW w:w="2688" w:type="dxa"/>
            <w:vAlign w:val="center"/>
          </w:tcPr>
          <w:p>
            <w:pPr>
              <w:pStyle w:val="4"/>
              <w:spacing w:before="156" w:beforeLines="50" w:after="156" w:afterLines="50"/>
              <w:jc w:val="center"/>
              <w:rPr>
                <w:rFonts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2" w:type="dxa"/>
            <w:vMerge w:val="continue"/>
            <w:vAlign w:val="center"/>
          </w:tcPr>
          <w:p>
            <w:pPr>
              <w:pStyle w:val="4"/>
              <w:spacing w:before="156" w:beforeLines="50" w:after="156" w:afterLines="50"/>
              <w:rPr>
                <w:rFonts w:hAnsi="宋体" w:cs="宋体"/>
                <w:szCs w:val="21"/>
              </w:rPr>
            </w:pPr>
          </w:p>
        </w:tc>
        <w:tc>
          <w:tcPr>
            <w:tcW w:w="1959" w:type="dxa"/>
            <w:vAlign w:val="center"/>
          </w:tcPr>
          <w:p>
            <w:pPr>
              <w:pStyle w:val="4"/>
              <w:spacing w:before="156" w:beforeLines="50" w:after="156" w:afterLines="50"/>
              <w:jc w:val="center"/>
              <w:rPr>
                <w:rFonts w:hAnsi="宋体" w:cs="宋体"/>
              </w:rPr>
            </w:pPr>
            <w:r>
              <w:rPr>
                <w:rFonts w:hint="eastAsia" w:hAnsi="宋体" w:cs="宋体"/>
                <w:szCs w:val="21"/>
              </w:rPr>
              <w:t>3.2</w:t>
            </w:r>
          </w:p>
        </w:tc>
        <w:tc>
          <w:tcPr>
            <w:tcW w:w="3118" w:type="dxa"/>
            <w:vAlign w:val="center"/>
          </w:tcPr>
          <w:p>
            <w:pPr>
              <w:pStyle w:val="4"/>
              <w:spacing w:before="156" w:beforeLines="50" w:after="156" w:afterLines="50"/>
              <w:ind w:firstLine="420" w:firstLineChars="200"/>
              <w:rPr>
                <w:rFonts w:ascii="黑体" w:hAnsi="宋体"/>
                <w:b/>
                <w:bCs/>
                <w:szCs w:val="21"/>
              </w:rPr>
            </w:pPr>
            <w:r>
              <w:rPr>
                <w:rFonts w:hint="eastAsia" w:hAnsi="宋体" w:cs="宋体"/>
              </w:rPr>
              <w:t>提高英语书面表达能力</w:t>
            </w:r>
          </w:p>
        </w:tc>
        <w:tc>
          <w:tcPr>
            <w:tcW w:w="2688" w:type="dxa"/>
            <w:vAlign w:val="center"/>
          </w:tcPr>
          <w:p>
            <w:pPr>
              <w:pStyle w:val="4"/>
              <w:spacing w:before="156" w:beforeLines="50" w:after="156" w:afterLines="50"/>
              <w:jc w:val="center"/>
              <w:rPr>
                <w:rFonts w:hAnsi="宋体" w:cs="宋体"/>
              </w:rPr>
            </w:pPr>
          </w:p>
        </w:tc>
      </w:tr>
    </w:tbl>
    <w:p>
      <w:pPr>
        <w:spacing w:before="156" w:beforeLines="50" w:after="156" w:afterLines="50"/>
        <w:ind w:firstLine="562" w:firstLineChars="200"/>
        <w:rPr>
          <w:rFonts w:hint="eastAsia" w:ascii="黑体" w:hAnsi="黑体" w:eastAsia="黑体"/>
          <w:b/>
          <w:sz w:val="28"/>
          <w:szCs w:val="28"/>
          <w:highlight w:val="none"/>
          <w:lang w:eastAsia="zh-CN"/>
        </w:rPr>
      </w:pPr>
      <w:r>
        <w:rPr>
          <w:rFonts w:hint="eastAsia" w:ascii="黑体" w:hAnsi="黑体" w:eastAsia="黑体"/>
          <w:b/>
          <w:sz w:val="28"/>
          <w:szCs w:val="28"/>
          <w:highlight w:val="none"/>
        </w:rPr>
        <w:t>三、教学内容</w:t>
      </w:r>
    </w:p>
    <w:p>
      <w:pPr>
        <w:spacing w:before="156" w:beforeLines="50" w:after="156" w:afterLines="5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（具体描述各章节教学目标、教学内容等。实验课程可按实验模块描述）</w:t>
      </w:r>
    </w:p>
    <w:p>
      <w:pPr>
        <w:widowControl/>
        <w:spacing w:before="156" w:beforeLines="50" w:after="156" w:afterLines="50"/>
        <w:ind w:firstLine="482" w:firstLineChars="200"/>
        <w:jc w:val="left"/>
        <w:rPr>
          <w:rFonts w:hint="eastAsia" w:eastAsia="黑体"/>
          <w:bCs/>
          <w:lang w:eastAsia="zh-CN"/>
        </w:rPr>
      </w:pPr>
      <w:r>
        <w:rPr>
          <w:rFonts w:hint="eastAsia" w:ascii="黑体" w:hAnsi="黑体" w:eastAsia="黑体" w:cs="Times New Roman"/>
          <w:b/>
          <w:sz w:val="24"/>
          <w:szCs w:val="24"/>
        </w:rPr>
        <w:t>第一章 Online Retailing - introduction to e-tailing</w:t>
      </w:r>
    </w:p>
    <w:p>
      <w:pPr>
        <w:pStyle w:val="3"/>
        <w:spacing w:before="156" w:after="156"/>
        <w:ind w:firstLine="420"/>
      </w:pPr>
      <w:r>
        <w:rPr>
          <w:rFonts w:cs="TimesNewRomanPSMT"/>
        </w:rPr>
        <w:t>1.</w:t>
      </w:r>
      <w:r>
        <w:rPr>
          <w:rFonts w:hint="eastAsia"/>
        </w:rPr>
        <w:t>教学目标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Grasp the concept of e-tailing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Identify the critical success factors of Amazon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Analyze the problems with the click-and-mortar model</w:t>
      </w:r>
    </w:p>
    <w:p>
      <w:pPr>
        <w:widowControl/>
        <w:numPr>
          <w:ilvl w:val="0"/>
          <w:numId w:val="2"/>
        </w:numPr>
        <w:tabs>
          <w:tab w:val="left" w:pos="640"/>
        </w:tabs>
        <w:spacing w:before="156" w:beforeLines="50" w:after="156" w:afterLines="50"/>
        <w:ind w:firstLine="420" w:firstLineChars="200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教学重难点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Identify the critical success factors of Amazon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Analyze the problems with the click-and-mortar model</w:t>
      </w:r>
    </w:p>
    <w:p>
      <w:pPr>
        <w:widowControl/>
        <w:spacing w:before="156" w:beforeLines="50" w:after="156" w:afterLines="50"/>
        <w:ind w:left="420" w:leftChars="200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3.教学内容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introduction to e-tailing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Amazon: king of E-tailing(1)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Wal-mart: Retailing Giant moves online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Cases &amp; Case analysis</w:t>
      </w:r>
    </w:p>
    <w:p>
      <w:pPr>
        <w:widowControl/>
        <w:spacing w:before="156" w:beforeLines="50" w:after="156" w:afterLines="50"/>
        <w:ind w:left="420" w:leftChars="200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ascii="宋体" w:hAnsi="宋体" w:eastAsia="宋体" w:cs="TimesNewRomanPSMT"/>
          <w:color w:val="000000"/>
          <w:kern w:val="0"/>
          <w:szCs w:val="21"/>
        </w:rPr>
        <w:t>4.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教学方法：case study</w:t>
      </w:r>
    </w:p>
    <w:p>
      <w:pPr>
        <w:widowControl/>
        <w:spacing w:before="156" w:beforeLines="50" w:after="156" w:afterLines="50"/>
        <w:ind w:firstLine="420" w:firstLineChars="200"/>
        <w:jc w:val="left"/>
        <w:rPr>
          <w:rFonts w:ascii="宋体" w:hAnsi="宋体" w:eastAsia="宋体" w:cs="TimesNewRomanPSMT"/>
          <w:color w:val="000000"/>
          <w:kern w:val="0"/>
          <w:szCs w:val="21"/>
        </w:rPr>
      </w:pPr>
      <w:r>
        <w:rPr>
          <w:rFonts w:ascii="宋体" w:hAnsi="宋体" w:eastAsia="宋体" w:cs="TimesNewRomanPSMT"/>
          <w:color w:val="000000"/>
          <w:kern w:val="0"/>
          <w:szCs w:val="21"/>
        </w:rPr>
        <w:t>5.</w:t>
      </w:r>
      <w:r>
        <w:rPr>
          <w:rFonts w:hint="eastAsia" w:ascii="宋体" w:hAnsi="宋体" w:eastAsia="宋体" w:cs="TimesNewRomanPSMT"/>
          <w:color w:val="000000"/>
          <w:kern w:val="0"/>
          <w:szCs w:val="21"/>
        </w:rPr>
        <w:t>教学评价: 98</w:t>
      </w:r>
    </w:p>
    <w:p>
      <w:pPr>
        <w:widowControl/>
        <w:spacing w:before="156" w:beforeLines="50" w:after="156" w:afterLines="50"/>
        <w:ind w:firstLine="482" w:firstLineChars="200"/>
        <w:jc w:val="left"/>
        <w:rPr>
          <w:rFonts w:hint="eastAsia" w:ascii="黑体" w:hAnsi="黑体" w:eastAsia="黑体" w:cs="宋体"/>
          <w:b/>
          <w:color w:val="000000"/>
          <w:kern w:val="0"/>
          <w:sz w:val="24"/>
          <w:szCs w:val="24"/>
          <w:lang w:eastAsia="zh-CN"/>
        </w:rPr>
      </w:pPr>
      <w:r>
        <w:rPr>
          <w:rFonts w:hint="eastAsia" w:ascii="黑体" w:hAnsi="黑体" w:eastAsia="黑体" w:cs="Times New Roman"/>
          <w:b/>
          <w:sz w:val="24"/>
          <w:szCs w:val="24"/>
        </w:rPr>
        <w:t xml:space="preserve">第二章 </w:t>
      </w:r>
      <w:r>
        <w:rPr>
          <w:rFonts w:hint="eastAsia" w:ascii="黑体" w:hAnsi="黑体" w:eastAsia="黑体"/>
          <w:b/>
          <w:sz w:val="24"/>
          <w:szCs w:val="24"/>
        </w:rPr>
        <w:t xml:space="preserve">B2B E-commerce - </w:t>
      </w:r>
      <w:r>
        <w:rPr>
          <w:rFonts w:ascii="黑体" w:hAnsi="黑体" w:eastAsia="黑体"/>
          <w:b/>
          <w:sz w:val="24"/>
          <w:szCs w:val="24"/>
        </w:rPr>
        <w:t>Overview of B2B E-commerce</w:t>
      </w:r>
    </w:p>
    <w:p>
      <w:pPr>
        <w:pStyle w:val="3"/>
        <w:spacing w:before="156" w:after="156"/>
        <w:ind w:firstLine="420"/>
      </w:pPr>
      <w:r>
        <w:rPr>
          <w:rFonts w:hint="eastAsia"/>
        </w:rPr>
        <w:t>1.教学目标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left="419" w:hanging="198"/>
        <w:jc w:val="left"/>
        <w:rPr>
          <w:rFonts w:ascii="宋体" w:hAnsi="宋体" w:eastAsia="宋体"/>
        </w:rPr>
      </w:pPr>
      <w:r>
        <w:rPr>
          <w:rFonts w:ascii="宋体" w:hAnsi="宋体" w:eastAsia="宋体"/>
        </w:rPr>
        <w:t>Understand</w:t>
      </w:r>
      <w:r>
        <w:rPr>
          <w:rFonts w:hint="eastAsia" w:ascii="宋体" w:hAnsi="宋体" w:eastAsia="宋体"/>
        </w:rPr>
        <w:t xml:space="preserve"> the concept of case and case analysis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left="419" w:hanging="198"/>
        <w:jc w:val="left"/>
        <w:rPr>
          <w:rFonts w:ascii="宋体" w:hAnsi="宋体" w:eastAsia="宋体"/>
        </w:rPr>
      </w:pPr>
      <w:r>
        <w:rPr>
          <w:rFonts w:ascii="宋体" w:hAnsi="宋体" w:eastAsia="宋体"/>
        </w:rPr>
        <w:t>Describe the definitions and major types of B2B models.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left="419" w:hanging="198"/>
        <w:jc w:val="left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Characterize Alibaba</w:t>
      </w:r>
      <w:r>
        <w:rPr>
          <w:rFonts w:ascii="宋体" w:hAnsi="宋体" w:eastAsia="宋体"/>
        </w:rPr>
        <w:t>’</w:t>
      </w:r>
      <w:r>
        <w:rPr>
          <w:rFonts w:hint="eastAsia" w:ascii="宋体" w:hAnsi="宋体" w:eastAsia="宋体"/>
        </w:rPr>
        <w:t>s B2B business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left="419" w:hanging="198"/>
        <w:jc w:val="left"/>
        <w:rPr>
          <w:rFonts w:ascii="宋体" w:hAnsi="宋体" w:eastAsia="宋体"/>
        </w:rPr>
      </w:pPr>
      <w:r>
        <w:rPr>
          <w:rFonts w:ascii="宋体" w:hAnsi="宋体" w:eastAsia="宋体"/>
        </w:rPr>
        <w:t>I</w:t>
      </w:r>
      <w:r>
        <w:rPr>
          <w:rFonts w:hint="eastAsia" w:ascii="宋体" w:hAnsi="宋体" w:eastAsia="宋体"/>
        </w:rPr>
        <w:t>dentify what leads to Alibaba</w:t>
      </w:r>
      <w:r>
        <w:rPr>
          <w:rFonts w:ascii="宋体" w:hAnsi="宋体" w:eastAsia="宋体"/>
        </w:rPr>
        <w:t>’</w:t>
      </w:r>
      <w:r>
        <w:rPr>
          <w:rFonts w:hint="eastAsia" w:ascii="宋体" w:hAnsi="宋体" w:eastAsia="宋体"/>
        </w:rPr>
        <w:t>s success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left="419" w:hanging="198"/>
        <w:jc w:val="left"/>
        <w:rPr>
          <w:rFonts w:ascii="宋体" w:hAnsi="宋体" w:eastAsia="宋体"/>
        </w:rPr>
      </w:pPr>
      <w:r>
        <w:rPr>
          <w:rFonts w:ascii="宋体" w:hAnsi="宋体" w:eastAsia="宋体"/>
        </w:rPr>
        <w:t>Understand collaborative commerce (c-commerce) and its benefits.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left="419" w:hanging="198"/>
        <w:jc w:val="left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Analyze how Target realizes the collaboration with its partners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left="419" w:hanging="198"/>
        <w:jc w:val="left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Identify the types of case analysis</w:t>
      </w:r>
      <w:r>
        <w:rPr>
          <w:rFonts w:ascii="宋体" w:hAnsi="宋体" w:eastAsia="宋体"/>
        </w:rPr>
        <w:t>.</w:t>
      </w:r>
    </w:p>
    <w:p>
      <w:pPr>
        <w:pStyle w:val="3"/>
        <w:spacing w:before="156" w:after="156"/>
        <w:ind w:firstLine="420"/>
      </w:pPr>
      <w:r>
        <w:rPr>
          <w:rFonts w:hint="eastAsia"/>
        </w:rPr>
        <w:t>2</w:t>
      </w:r>
      <w:r>
        <w:t>.</w:t>
      </w:r>
      <w:r>
        <w:rPr>
          <w:rFonts w:hint="eastAsia"/>
        </w:rPr>
        <w:t>教学重难点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/>
        </w:rPr>
      </w:pPr>
      <w:r>
        <w:rPr>
          <w:rFonts w:ascii="宋体" w:hAnsi="宋体" w:eastAsia="宋体"/>
        </w:rPr>
        <w:t>I</w:t>
      </w:r>
      <w:r>
        <w:rPr>
          <w:rFonts w:hint="eastAsia" w:ascii="宋体" w:hAnsi="宋体" w:eastAsia="宋体"/>
        </w:rPr>
        <w:t>dentify what leads to Alibaba</w:t>
      </w:r>
      <w:r>
        <w:rPr>
          <w:rFonts w:ascii="宋体" w:hAnsi="宋体" w:eastAsia="宋体"/>
        </w:rPr>
        <w:t>’</w:t>
      </w:r>
      <w:r>
        <w:rPr>
          <w:rFonts w:hint="eastAsia" w:ascii="宋体" w:hAnsi="宋体" w:eastAsia="宋体"/>
        </w:rPr>
        <w:t>s success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Analyze how Target realizes the collaboration with its partners</w:t>
      </w:r>
    </w:p>
    <w:p>
      <w:pPr>
        <w:pStyle w:val="3"/>
        <w:spacing w:before="156" w:after="156"/>
        <w:ind w:firstLine="420"/>
      </w:pPr>
      <w:r>
        <w:rPr>
          <w:rFonts w:hint="eastAsia"/>
        </w:rPr>
        <w:t>3</w:t>
      </w:r>
      <w:r>
        <w:t>.</w:t>
      </w:r>
      <w:r>
        <w:rPr>
          <w:rFonts w:hint="eastAsia"/>
        </w:rPr>
        <w:t>教学内容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/>
        </w:rPr>
      </w:pPr>
      <w:r>
        <w:rPr>
          <w:rFonts w:ascii="宋体" w:hAnsi="宋体" w:eastAsia="宋体"/>
        </w:rPr>
        <w:t>Alibaba.com – B2B from China to The World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/>
        </w:rPr>
      </w:pPr>
      <w:r>
        <w:rPr>
          <w:rFonts w:ascii="宋体" w:hAnsi="宋体" w:eastAsia="宋体"/>
        </w:rPr>
        <w:t>Retailer–Supplier Collaboration: Target Corporation</w:t>
      </w:r>
      <w:r>
        <w:rPr>
          <w:rFonts w:hint="eastAsia" w:ascii="宋体" w:hAnsi="宋体" w:eastAsia="宋体"/>
        </w:rPr>
        <w:t>(1)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/>
        </w:rPr>
      </w:pPr>
      <w:r>
        <w:rPr>
          <w:rFonts w:ascii="宋体" w:hAnsi="宋体" w:eastAsia="宋体"/>
        </w:rPr>
        <w:t>Retailer–Supplier Collaboration: Target Corporation</w:t>
      </w:r>
      <w:r>
        <w:rPr>
          <w:rFonts w:hint="eastAsia" w:ascii="宋体" w:hAnsi="宋体" w:eastAsia="宋体"/>
        </w:rPr>
        <w:t>(2)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/>
        </w:rPr>
      </w:pPr>
      <w:r>
        <w:rPr>
          <w:rFonts w:hint="eastAsia" w:ascii="宋体" w:hAnsi="宋体" w:eastAsia="宋体"/>
        </w:rPr>
        <w:t xml:space="preserve">Types of case analysis 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Team presentation 2</w:t>
      </w:r>
    </w:p>
    <w:p>
      <w:pPr>
        <w:pStyle w:val="3"/>
        <w:spacing w:before="156" w:after="156"/>
        <w:ind w:firstLine="420"/>
      </w:pPr>
      <w:r>
        <w:rPr>
          <w:rFonts w:cs="TimesNewRomanPSMT"/>
        </w:rPr>
        <w:t>4.</w:t>
      </w:r>
      <w:r>
        <w:rPr>
          <w:rFonts w:hint="eastAsia"/>
        </w:rPr>
        <w:t>教学方法：case study</w:t>
      </w:r>
    </w:p>
    <w:p>
      <w:pPr>
        <w:pStyle w:val="3"/>
        <w:spacing w:before="156" w:after="156"/>
        <w:ind w:firstLine="420"/>
      </w:pPr>
      <w:r>
        <w:t>5.</w:t>
      </w:r>
      <w:r>
        <w:rPr>
          <w:rFonts w:hint="eastAsia"/>
        </w:rPr>
        <w:t>教学评价: 98</w:t>
      </w:r>
    </w:p>
    <w:p>
      <w:pPr>
        <w:spacing w:before="156" w:beforeLines="50" w:after="156" w:afterLines="50"/>
        <w:ind w:firstLine="482" w:firstLineChars="200"/>
        <w:jc w:val="left"/>
        <w:rPr>
          <w:rFonts w:ascii="黑体" w:hAnsi="黑体" w:eastAsia="黑体"/>
          <w:b/>
          <w:bCs/>
          <w:sz w:val="24"/>
          <w:szCs w:val="24"/>
        </w:rPr>
      </w:pPr>
      <w:r>
        <w:rPr>
          <w:rFonts w:hint="eastAsia" w:ascii="黑体" w:hAnsi="黑体" w:eastAsia="黑体" w:cs="TimesNewRomanPSMT"/>
          <w:b/>
          <w:bCs/>
          <w:color w:val="000000"/>
          <w:kern w:val="0"/>
          <w:sz w:val="24"/>
          <w:szCs w:val="24"/>
        </w:rPr>
        <w:t>第三章</w:t>
      </w:r>
      <w:r>
        <w:rPr>
          <w:rFonts w:ascii="黑体" w:hAnsi="黑体" w:eastAsia="黑体"/>
          <w:b/>
          <w:bCs/>
          <w:sz w:val="24"/>
          <w:szCs w:val="24"/>
        </w:rPr>
        <w:t>Emergence of New E-commerce Models</w:t>
      </w:r>
      <w:r>
        <w:rPr>
          <w:rFonts w:hint="eastAsia" w:ascii="黑体" w:hAnsi="黑体" w:eastAsia="黑体"/>
          <w:b/>
          <w:bCs/>
          <w:sz w:val="24"/>
          <w:szCs w:val="24"/>
        </w:rPr>
        <w:t xml:space="preserve"> - </w:t>
      </w:r>
      <w:r>
        <w:rPr>
          <w:rFonts w:ascii="黑体" w:hAnsi="黑体" w:eastAsia="黑体"/>
          <w:b/>
          <w:bCs/>
          <w:sz w:val="24"/>
          <w:szCs w:val="24"/>
        </w:rPr>
        <w:t>Overview of New E-commerce Models</w:t>
      </w:r>
    </w:p>
    <w:p>
      <w:pPr>
        <w:pStyle w:val="3"/>
        <w:spacing w:before="156" w:after="156"/>
        <w:ind w:firstLine="420"/>
      </w:pPr>
      <w:r>
        <w:rPr>
          <w:rFonts w:hint="eastAsia"/>
        </w:rPr>
        <w:t>1</w:t>
      </w:r>
      <w:r>
        <w:t>.</w:t>
      </w:r>
      <w:r>
        <w:rPr>
          <w:rFonts w:hint="eastAsia"/>
        </w:rPr>
        <w:t>教学目标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/>
        </w:rPr>
      </w:pPr>
      <w:r>
        <w:rPr>
          <w:rFonts w:ascii="宋体" w:hAnsi="宋体" w:eastAsia="宋体"/>
        </w:rPr>
        <w:t>Define O2O and its business models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/>
        </w:rPr>
      </w:pPr>
      <w:r>
        <w:rPr>
          <w:rFonts w:ascii="宋体" w:hAnsi="宋体" w:eastAsia="宋体"/>
        </w:rPr>
        <w:t>Identify the relationships between O2O, B2C and group buying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/>
        </w:rPr>
      </w:pPr>
      <w:r>
        <w:rPr>
          <w:rFonts w:ascii="宋体" w:hAnsi="宋体" w:eastAsia="宋体"/>
        </w:rPr>
        <w:t>I</w:t>
      </w:r>
      <w:r>
        <w:rPr>
          <w:rFonts w:hint="eastAsia" w:ascii="宋体" w:hAnsi="宋体" w:eastAsia="宋体"/>
        </w:rPr>
        <w:t>dentify the causes of Groupon</w:t>
      </w:r>
      <w:r>
        <w:rPr>
          <w:rFonts w:ascii="宋体" w:hAnsi="宋体" w:eastAsia="宋体"/>
        </w:rPr>
        <w:t>’</w:t>
      </w:r>
      <w:r>
        <w:rPr>
          <w:rFonts w:hint="eastAsia" w:ascii="宋体" w:hAnsi="宋体" w:eastAsia="宋体"/>
        </w:rPr>
        <w:t>s success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/>
        </w:rPr>
      </w:pPr>
      <w:r>
        <w:rPr>
          <w:rFonts w:ascii="宋体" w:hAnsi="宋体" w:eastAsia="宋体"/>
        </w:rPr>
        <w:t>Differentiate the online travel services from the offline travel services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Explain how Ctrip realize low-cost travel services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/>
        </w:rPr>
      </w:pPr>
      <w:r>
        <w:rPr>
          <w:rFonts w:ascii="宋体" w:hAnsi="宋体" w:eastAsia="宋体"/>
        </w:rPr>
        <w:t xml:space="preserve">Understand </w:t>
      </w:r>
      <w:r>
        <w:rPr>
          <w:rFonts w:hint="eastAsia" w:ascii="宋体" w:hAnsi="宋体" w:eastAsia="宋体"/>
        </w:rPr>
        <w:t>how to prepare for case analysis</w:t>
      </w:r>
    </w:p>
    <w:p>
      <w:pPr>
        <w:pStyle w:val="3"/>
        <w:spacing w:before="156" w:after="156"/>
        <w:ind w:firstLine="420"/>
      </w:pPr>
      <w:r>
        <w:rPr>
          <w:rFonts w:hint="eastAsia"/>
        </w:rPr>
        <w:t>2</w:t>
      </w:r>
      <w:r>
        <w:t>.</w:t>
      </w:r>
      <w:r>
        <w:rPr>
          <w:rFonts w:hint="eastAsia"/>
        </w:rPr>
        <w:t>教学重难点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/>
        </w:rPr>
      </w:pPr>
      <w:r>
        <w:rPr>
          <w:rFonts w:ascii="宋体" w:hAnsi="宋体" w:eastAsia="宋体"/>
        </w:rPr>
        <w:t>Identify the relationships between O2O, B2C and group buying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/>
        </w:rPr>
      </w:pPr>
      <w:r>
        <w:rPr>
          <w:rFonts w:ascii="宋体" w:hAnsi="宋体" w:eastAsia="宋体"/>
        </w:rPr>
        <w:t>I</w:t>
      </w:r>
      <w:r>
        <w:rPr>
          <w:rFonts w:hint="eastAsia" w:ascii="宋体" w:hAnsi="宋体" w:eastAsia="宋体"/>
        </w:rPr>
        <w:t>dentify the causes of Groupon</w:t>
      </w:r>
      <w:r>
        <w:rPr>
          <w:rFonts w:ascii="宋体" w:hAnsi="宋体" w:eastAsia="宋体"/>
        </w:rPr>
        <w:t>’</w:t>
      </w:r>
      <w:r>
        <w:rPr>
          <w:rFonts w:hint="eastAsia" w:ascii="宋体" w:hAnsi="宋体" w:eastAsia="宋体"/>
        </w:rPr>
        <w:t>s success</w:t>
      </w:r>
    </w:p>
    <w:p>
      <w:pPr>
        <w:pStyle w:val="3"/>
        <w:spacing w:before="156" w:after="156"/>
        <w:ind w:firstLine="420"/>
      </w:pPr>
      <w:r>
        <w:rPr>
          <w:rFonts w:hint="eastAsia"/>
        </w:rPr>
        <w:t>3</w:t>
      </w:r>
      <w:r>
        <w:t>.</w:t>
      </w:r>
      <w:r>
        <w:rPr>
          <w:rFonts w:hint="eastAsia"/>
        </w:rPr>
        <w:t>教学内容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/>
        </w:rPr>
      </w:pPr>
      <w:r>
        <w:rPr>
          <w:rFonts w:ascii="宋体" w:hAnsi="宋体" w:eastAsia="宋体"/>
        </w:rPr>
        <w:t>Groupon – Integration of Online and Offline</w:t>
      </w:r>
      <w:r>
        <w:rPr>
          <w:rFonts w:hint="eastAsia" w:ascii="宋体" w:hAnsi="宋体" w:eastAsia="宋体"/>
        </w:rPr>
        <w:t xml:space="preserve"> (1)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/>
        </w:rPr>
      </w:pPr>
      <w:r>
        <w:rPr>
          <w:rFonts w:ascii="宋体" w:hAnsi="宋体" w:eastAsia="宋体"/>
        </w:rPr>
        <w:t>Groupon – Integration of Online and Offline</w:t>
      </w:r>
      <w:r>
        <w:rPr>
          <w:rFonts w:hint="eastAsia" w:ascii="宋体" w:hAnsi="宋体" w:eastAsia="宋体"/>
        </w:rPr>
        <w:t>(2)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/>
        </w:rPr>
      </w:pPr>
      <w:r>
        <w:rPr>
          <w:rFonts w:ascii="宋体" w:hAnsi="宋体" w:eastAsia="宋体"/>
        </w:rPr>
        <w:t>Ctrip – Making Low-Cost Travel Possible</w:t>
      </w:r>
      <w:r>
        <w:rPr>
          <w:rFonts w:hint="eastAsia" w:ascii="宋体" w:hAnsi="宋体" w:eastAsia="宋体"/>
        </w:rPr>
        <w:t>(1)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/>
        </w:rPr>
      </w:pPr>
      <w:r>
        <w:rPr>
          <w:rFonts w:ascii="宋体" w:hAnsi="宋体" w:eastAsia="宋体"/>
        </w:rPr>
        <w:t>Ctrip – Making Low-Cost Travel Possible</w:t>
      </w:r>
      <w:r>
        <w:rPr>
          <w:rFonts w:hint="eastAsia" w:ascii="宋体" w:hAnsi="宋体" w:eastAsia="宋体"/>
        </w:rPr>
        <w:t>(2)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Case analysis preparation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Team presentation 3</w:t>
      </w:r>
    </w:p>
    <w:p>
      <w:pPr>
        <w:pStyle w:val="3"/>
        <w:spacing w:before="156" w:after="156"/>
        <w:ind w:firstLine="420"/>
      </w:pPr>
      <w:r>
        <w:rPr>
          <w:rFonts w:cs="TimesNewRomanPSMT"/>
        </w:rPr>
        <w:t>4.</w:t>
      </w:r>
      <w:r>
        <w:rPr>
          <w:rFonts w:hint="eastAsia"/>
        </w:rPr>
        <w:t>教学方法：case study</w:t>
      </w:r>
    </w:p>
    <w:p>
      <w:pPr>
        <w:pStyle w:val="3"/>
        <w:spacing w:before="156" w:after="156"/>
        <w:ind w:firstLine="420"/>
      </w:pPr>
      <w:r>
        <w:t>5.</w:t>
      </w:r>
      <w:r>
        <w:rPr>
          <w:rFonts w:hint="eastAsia"/>
        </w:rPr>
        <w:t>教学评价: 98</w:t>
      </w:r>
    </w:p>
    <w:p>
      <w:pPr>
        <w:numPr>
          <w:ilvl w:val="0"/>
          <w:numId w:val="3"/>
        </w:numPr>
        <w:spacing w:before="156" w:beforeLines="50" w:after="156" w:afterLines="50"/>
        <w:ind w:firstLine="482" w:firstLineChars="200"/>
        <w:jc w:val="left"/>
        <w:rPr>
          <w:rFonts w:ascii="黑体" w:hAnsi="黑体" w:eastAsia="黑体"/>
          <w:b/>
          <w:bCs/>
          <w:sz w:val="24"/>
          <w:szCs w:val="24"/>
        </w:rPr>
      </w:pPr>
      <w:r>
        <w:rPr>
          <w:rFonts w:ascii="黑体" w:hAnsi="黑体" w:eastAsia="黑体"/>
          <w:b/>
          <w:bCs/>
          <w:sz w:val="24"/>
          <w:szCs w:val="24"/>
        </w:rPr>
        <w:t>Supply Chain &amp; Logistics</w:t>
      </w:r>
      <w:r>
        <w:rPr>
          <w:rFonts w:hint="eastAsia" w:ascii="黑体" w:hAnsi="黑体" w:eastAsia="黑体"/>
          <w:b/>
          <w:bCs/>
          <w:sz w:val="24"/>
          <w:szCs w:val="24"/>
        </w:rPr>
        <w:t xml:space="preserve"> - </w:t>
      </w:r>
      <w:r>
        <w:rPr>
          <w:rFonts w:ascii="黑体" w:hAnsi="黑体" w:eastAsia="黑体"/>
          <w:b/>
          <w:bCs/>
          <w:sz w:val="24"/>
          <w:szCs w:val="24"/>
        </w:rPr>
        <w:t>Overview of Supply Chain &amp; Logistics</w:t>
      </w:r>
    </w:p>
    <w:p>
      <w:pPr>
        <w:pStyle w:val="3"/>
        <w:spacing w:before="156" w:after="156"/>
        <w:ind w:firstLine="420"/>
      </w:pPr>
      <w:r>
        <w:rPr>
          <w:rFonts w:hint="eastAsia"/>
        </w:rPr>
        <w:t>1</w:t>
      </w:r>
      <w:r>
        <w:t>.</w:t>
      </w:r>
      <w:r>
        <w:rPr>
          <w:rFonts w:hint="eastAsia"/>
        </w:rPr>
        <w:t>教学目标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/>
        </w:rPr>
      </w:pPr>
      <w:r>
        <w:rPr>
          <w:rFonts w:ascii="宋体" w:hAnsi="宋体" w:eastAsia="宋体"/>
        </w:rPr>
        <w:t>Understand the concept of supply chain and logistics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/>
        </w:rPr>
      </w:pPr>
      <w:r>
        <w:rPr>
          <w:rFonts w:ascii="宋体" w:hAnsi="宋体" w:eastAsia="宋体"/>
        </w:rPr>
        <w:t>Identify the how e-commerce influences supply chain and logistics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/>
        </w:rPr>
      </w:pPr>
      <w:r>
        <w:rPr>
          <w:rFonts w:ascii="宋体" w:hAnsi="宋体" w:eastAsia="宋体"/>
        </w:rPr>
        <w:t>Explain the critical success factors of  Apple’s SCM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/>
        </w:rPr>
      </w:pPr>
      <w:r>
        <w:rPr>
          <w:rFonts w:ascii="宋体" w:hAnsi="宋体" w:eastAsia="宋体"/>
        </w:rPr>
        <w:t>Analyze the problems with Jingdong’s logistics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Identify the general methods of case analysis</w:t>
      </w:r>
    </w:p>
    <w:p>
      <w:pPr>
        <w:pStyle w:val="3"/>
        <w:spacing w:before="156" w:after="156"/>
        <w:ind w:firstLine="420"/>
      </w:pPr>
      <w:r>
        <w:rPr>
          <w:rFonts w:hint="eastAsia"/>
        </w:rPr>
        <w:t>2</w:t>
      </w:r>
      <w:r>
        <w:t>.</w:t>
      </w:r>
      <w:r>
        <w:rPr>
          <w:rFonts w:hint="eastAsia"/>
        </w:rPr>
        <w:t>教学重难点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/>
        </w:rPr>
      </w:pPr>
      <w:r>
        <w:rPr>
          <w:rFonts w:ascii="宋体" w:hAnsi="宋体" w:eastAsia="宋体"/>
        </w:rPr>
        <w:t>Identify the how e-commerce influences supply chain and logistics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/>
        </w:rPr>
      </w:pPr>
      <w:r>
        <w:rPr>
          <w:rFonts w:ascii="宋体" w:hAnsi="宋体" w:eastAsia="宋体"/>
        </w:rPr>
        <w:t>Explain the critical success factors of  Apple’s SCM</w:t>
      </w:r>
    </w:p>
    <w:p>
      <w:pPr>
        <w:pStyle w:val="3"/>
        <w:spacing w:before="156" w:after="156"/>
        <w:ind w:firstLine="420"/>
      </w:pPr>
      <w:r>
        <w:rPr>
          <w:rFonts w:hint="eastAsia"/>
        </w:rPr>
        <w:t>3</w:t>
      </w:r>
      <w:r>
        <w:t>.</w:t>
      </w:r>
      <w:r>
        <w:rPr>
          <w:rFonts w:hint="eastAsia"/>
        </w:rPr>
        <w:t>教学内容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/>
        </w:rPr>
      </w:pPr>
      <w:r>
        <w:rPr>
          <w:rFonts w:ascii="宋体" w:hAnsi="宋体" w:eastAsia="宋体"/>
        </w:rPr>
        <w:t>Apple – The Best Supply Chain Management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/>
        </w:rPr>
      </w:pPr>
      <w:r>
        <w:rPr>
          <w:rFonts w:ascii="宋体" w:hAnsi="宋体" w:eastAsia="宋体"/>
        </w:rPr>
        <w:t>Jingdong – Leading Logistics, Winning E-Market</w:t>
      </w:r>
      <w:r>
        <w:rPr>
          <w:rFonts w:hint="eastAsia" w:ascii="宋体" w:hAnsi="宋体" w:eastAsia="宋体"/>
        </w:rPr>
        <w:t>(1)</w:t>
      </w:r>
      <w:r>
        <w:rPr>
          <w:rFonts w:ascii="宋体" w:hAnsi="宋体" w:eastAsia="宋体"/>
        </w:rPr>
        <w:t xml:space="preserve"> 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/>
        </w:rPr>
      </w:pPr>
      <w:r>
        <w:rPr>
          <w:rFonts w:ascii="宋体" w:hAnsi="宋体" w:eastAsia="宋体"/>
        </w:rPr>
        <w:t>Jingdong – Leading Logistics, Winning E-Market</w:t>
      </w:r>
      <w:r>
        <w:rPr>
          <w:rFonts w:hint="eastAsia" w:ascii="宋体" w:hAnsi="宋体" w:eastAsia="宋体"/>
        </w:rPr>
        <w:t>(2)</w:t>
      </w:r>
      <w:r>
        <w:rPr>
          <w:rFonts w:ascii="宋体" w:hAnsi="宋体" w:eastAsia="宋体"/>
        </w:rPr>
        <w:t xml:space="preserve"> 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</w:rPr>
        <w:t xml:space="preserve">Case analysis method 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</w:rPr>
        <w:t>Team presentation 4</w:t>
      </w:r>
    </w:p>
    <w:p>
      <w:pPr>
        <w:pStyle w:val="3"/>
        <w:spacing w:before="156" w:after="156"/>
        <w:ind w:firstLine="420"/>
      </w:pPr>
      <w:r>
        <w:rPr>
          <w:rFonts w:cs="TimesNewRomanPSMT"/>
        </w:rPr>
        <w:t>4.</w:t>
      </w:r>
      <w:r>
        <w:rPr>
          <w:rFonts w:hint="eastAsia"/>
        </w:rPr>
        <w:t>教学方法：case study</w:t>
      </w:r>
    </w:p>
    <w:p>
      <w:pPr>
        <w:pStyle w:val="3"/>
        <w:spacing w:before="156" w:after="156"/>
        <w:ind w:firstLine="420"/>
      </w:pPr>
      <w:r>
        <w:t>5.</w:t>
      </w:r>
      <w:r>
        <w:rPr>
          <w:rFonts w:hint="eastAsia"/>
        </w:rPr>
        <w:t>教学评价: 98</w:t>
      </w:r>
    </w:p>
    <w:p>
      <w:pPr>
        <w:numPr>
          <w:ilvl w:val="0"/>
          <w:numId w:val="3"/>
        </w:numPr>
        <w:spacing w:before="156" w:beforeLines="50"/>
        <w:ind w:firstLine="482" w:firstLineChars="200"/>
        <w:jc w:val="left"/>
        <w:rPr>
          <w:rFonts w:ascii="黑体" w:hAnsi="黑体" w:eastAsia="黑体"/>
          <w:b/>
          <w:bCs/>
          <w:sz w:val="24"/>
          <w:szCs w:val="24"/>
        </w:rPr>
      </w:pPr>
      <w:r>
        <w:rPr>
          <w:rFonts w:hint="eastAsia" w:ascii="黑体" w:hAnsi="黑体" w:eastAsia="黑体"/>
          <w:b/>
          <w:bCs/>
          <w:sz w:val="24"/>
          <w:szCs w:val="24"/>
        </w:rPr>
        <w:t xml:space="preserve">Personalization - </w:t>
      </w:r>
      <w:r>
        <w:rPr>
          <w:rFonts w:ascii="黑体" w:hAnsi="黑体" w:eastAsia="黑体"/>
          <w:b/>
          <w:bCs/>
          <w:sz w:val="24"/>
          <w:szCs w:val="24"/>
        </w:rPr>
        <w:t>Brief introduction to personalization</w:t>
      </w:r>
    </w:p>
    <w:p>
      <w:pPr>
        <w:pStyle w:val="3"/>
        <w:spacing w:before="156" w:after="156"/>
        <w:ind w:firstLine="420"/>
      </w:pPr>
      <w:r>
        <w:rPr>
          <w:rFonts w:hint="eastAsia"/>
        </w:rPr>
        <w:t>1</w:t>
      </w:r>
      <w:r>
        <w:t>.</w:t>
      </w:r>
      <w:r>
        <w:rPr>
          <w:rFonts w:hint="eastAsia"/>
        </w:rPr>
        <w:t>教学目标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/>
        </w:rPr>
      </w:pPr>
      <w:r>
        <w:rPr>
          <w:rFonts w:ascii="宋体" w:hAnsi="宋体" w:eastAsia="宋体"/>
        </w:rPr>
        <w:t>Define personalization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/>
        </w:rPr>
      </w:pPr>
      <w:r>
        <w:rPr>
          <w:rFonts w:ascii="宋体" w:hAnsi="宋体" w:eastAsia="宋体"/>
        </w:rPr>
        <w:t>Differentiate personalization and customization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Explain how Lightinthebox realizes personalization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/>
        </w:rPr>
      </w:pPr>
      <w:r>
        <w:rPr>
          <w:rFonts w:ascii="宋体" w:hAnsi="宋体" w:eastAsia="宋体"/>
        </w:rPr>
        <w:t>A</w:t>
      </w:r>
      <w:r>
        <w:rPr>
          <w:rFonts w:hint="eastAsia" w:ascii="宋体" w:hAnsi="宋体" w:eastAsia="宋体"/>
        </w:rPr>
        <w:t>nalyze Lightinthebox</w:t>
      </w:r>
      <w:r>
        <w:rPr>
          <w:rFonts w:ascii="宋体" w:hAnsi="宋体" w:eastAsia="宋体"/>
        </w:rPr>
        <w:t>’</w:t>
      </w:r>
      <w:r>
        <w:rPr>
          <w:rFonts w:hint="eastAsia" w:ascii="宋体" w:hAnsi="宋体" w:eastAsia="宋体"/>
        </w:rPr>
        <w:t>s personalization with SWOT analysis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/>
        </w:rPr>
      </w:pPr>
      <w:r>
        <w:rPr>
          <w:rFonts w:ascii="宋体" w:hAnsi="宋体" w:eastAsia="宋体"/>
        </w:rPr>
        <w:t>I</w:t>
      </w:r>
      <w:r>
        <w:rPr>
          <w:rFonts w:hint="eastAsia" w:ascii="宋体" w:hAnsi="宋体" w:eastAsia="宋体"/>
        </w:rPr>
        <w:t xml:space="preserve">dentify </w:t>
      </w:r>
      <w:r>
        <w:rPr>
          <w:rFonts w:ascii="宋体" w:hAnsi="宋体" w:eastAsia="宋体"/>
        </w:rPr>
        <w:t xml:space="preserve">how </w:t>
      </w:r>
      <w:r>
        <w:rPr>
          <w:rFonts w:hint="eastAsia" w:ascii="宋体" w:hAnsi="宋体" w:eastAsia="宋体"/>
        </w:rPr>
        <w:t>NIKEiD implements customized services</w:t>
      </w:r>
    </w:p>
    <w:p>
      <w:pPr>
        <w:pStyle w:val="3"/>
        <w:spacing w:before="156" w:after="156"/>
        <w:ind w:firstLine="420"/>
      </w:pPr>
      <w:r>
        <w:rPr>
          <w:rFonts w:hint="eastAsia"/>
        </w:rPr>
        <w:t>2</w:t>
      </w:r>
      <w:r>
        <w:t>.</w:t>
      </w:r>
      <w:r>
        <w:rPr>
          <w:rFonts w:hint="eastAsia"/>
        </w:rPr>
        <w:t>教学重难点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/>
        </w:rPr>
      </w:pPr>
      <w:r>
        <w:rPr>
          <w:rFonts w:ascii="宋体" w:hAnsi="宋体" w:eastAsia="宋体"/>
        </w:rPr>
        <w:t>Differentiate personalization and customization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Explain how Lightinthebox realizes personalization</w:t>
      </w:r>
    </w:p>
    <w:p>
      <w:pPr>
        <w:pStyle w:val="3"/>
        <w:spacing w:before="156" w:after="156"/>
        <w:ind w:firstLine="420"/>
      </w:pPr>
      <w:r>
        <w:rPr>
          <w:rFonts w:hint="eastAsia"/>
        </w:rPr>
        <w:t>3</w:t>
      </w:r>
      <w:r>
        <w:t>.</w:t>
      </w:r>
      <w:r>
        <w:rPr>
          <w:rFonts w:hint="eastAsia"/>
        </w:rPr>
        <w:t>教学内容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/>
        </w:rPr>
      </w:pPr>
      <w:r>
        <w:rPr>
          <w:rFonts w:ascii="宋体" w:hAnsi="宋体" w:eastAsia="宋体"/>
        </w:rPr>
        <w:t xml:space="preserve">Lightinthebox – Personalized Wedding Gown Services From China </w:t>
      </w:r>
      <w:r>
        <w:rPr>
          <w:rFonts w:hint="eastAsia" w:ascii="宋体" w:hAnsi="宋体" w:eastAsia="宋体"/>
        </w:rPr>
        <w:t>(1)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/>
        </w:rPr>
      </w:pPr>
      <w:r>
        <w:rPr>
          <w:rFonts w:ascii="宋体" w:hAnsi="宋体" w:eastAsia="宋体"/>
        </w:rPr>
        <w:t xml:space="preserve">Lightinthebox – Personalized Wedding Gown Services From China </w:t>
      </w:r>
      <w:r>
        <w:rPr>
          <w:rFonts w:hint="eastAsia" w:ascii="宋体" w:hAnsi="宋体" w:eastAsia="宋体"/>
        </w:rPr>
        <w:t>(2)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NIKEiD</w:t>
      </w:r>
      <w:r>
        <w:rPr>
          <w:rFonts w:ascii="宋体" w:hAnsi="宋体" w:eastAsia="宋体"/>
        </w:rPr>
        <w:t xml:space="preserve"> – </w:t>
      </w:r>
      <w:r>
        <w:rPr>
          <w:rFonts w:hint="eastAsia" w:ascii="宋体" w:hAnsi="宋体" w:eastAsia="宋体"/>
        </w:rPr>
        <w:t>Customized Services</w:t>
      </w:r>
    </w:p>
    <w:p>
      <w:pPr>
        <w:pStyle w:val="3"/>
        <w:spacing w:before="156" w:after="156"/>
        <w:ind w:firstLine="420"/>
      </w:pPr>
      <w:r>
        <w:rPr>
          <w:rFonts w:cs="TimesNewRomanPSMT"/>
        </w:rPr>
        <w:t>4.</w:t>
      </w:r>
      <w:r>
        <w:rPr>
          <w:rFonts w:hint="eastAsia"/>
        </w:rPr>
        <w:t>教学方法：case study</w:t>
      </w:r>
    </w:p>
    <w:p>
      <w:pPr>
        <w:pStyle w:val="3"/>
        <w:spacing w:before="156" w:after="156"/>
        <w:ind w:firstLine="420"/>
      </w:pPr>
      <w:r>
        <w:t>5.</w:t>
      </w:r>
      <w:r>
        <w:rPr>
          <w:rFonts w:hint="eastAsia"/>
        </w:rPr>
        <w:t>教学评价: 98</w:t>
      </w:r>
    </w:p>
    <w:p>
      <w:pPr>
        <w:numPr>
          <w:ilvl w:val="0"/>
          <w:numId w:val="3"/>
        </w:numPr>
        <w:spacing w:before="156" w:beforeLines="50" w:after="156" w:afterLines="50"/>
        <w:ind w:firstLine="482" w:firstLineChars="200"/>
        <w:jc w:val="left"/>
        <w:rPr>
          <w:rFonts w:ascii="黑体" w:hAnsi="黑体" w:eastAsia="黑体"/>
          <w:b/>
          <w:bCs/>
          <w:sz w:val="24"/>
          <w:szCs w:val="24"/>
        </w:rPr>
      </w:pPr>
      <w:r>
        <w:rPr>
          <w:rFonts w:ascii="黑体" w:hAnsi="黑体" w:eastAsia="黑体"/>
          <w:b/>
          <w:bCs/>
          <w:sz w:val="24"/>
          <w:szCs w:val="24"/>
        </w:rPr>
        <w:t>Online Advertising</w:t>
      </w:r>
      <w:r>
        <w:rPr>
          <w:rFonts w:hint="eastAsia" w:ascii="黑体" w:hAnsi="黑体" w:eastAsia="黑体"/>
          <w:b/>
          <w:bCs/>
          <w:sz w:val="24"/>
          <w:szCs w:val="24"/>
        </w:rPr>
        <w:t xml:space="preserve"> - </w:t>
      </w:r>
      <w:r>
        <w:rPr>
          <w:rFonts w:ascii="黑体" w:hAnsi="黑体" w:eastAsia="黑体"/>
          <w:b/>
          <w:bCs/>
          <w:sz w:val="24"/>
          <w:szCs w:val="24"/>
        </w:rPr>
        <w:t>Introduction to Online Advertising</w:t>
      </w:r>
    </w:p>
    <w:p>
      <w:pPr>
        <w:pStyle w:val="3"/>
        <w:spacing w:before="156" w:after="156"/>
        <w:ind w:firstLine="420"/>
      </w:pPr>
      <w:r>
        <w:rPr>
          <w:rFonts w:hint="eastAsia"/>
        </w:rPr>
        <w:t>1</w:t>
      </w:r>
      <w:r>
        <w:t>.</w:t>
      </w:r>
      <w:r>
        <w:rPr>
          <w:rFonts w:hint="eastAsia"/>
        </w:rPr>
        <w:t>教学目标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/>
        </w:rPr>
      </w:pPr>
      <w:r>
        <w:rPr>
          <w:rFonts w:ascii="宋体" w:hAnsi="宋体" w:eastAsia="宋体"/>
        </w:rPr>
        <w:t>Understand online advertising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/>
        </w:rPr>
      </w:pPr>
      <w:r>
        <w:rPr>
          <w:rFonts w:ascii="宋体" w:hAnsi="宋体" w:eastAsia="宋体"/>
        </w:rPr>
        <w:t>Differentiate online advertising and offline advertising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Grasp SWOT analysis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/>
        </w:rPr>
      </w:pPr>
      <w:r>
        <w:rPr>
          <w:rFonts w:ascii="宋体" w:hAnsi="宋体" w:eastAsia="宋体"/>
        </w:rPr>
        <w:t>I</w:t>
      </w:r>
      <w:r>
        <w:rPr>
          <w:rFonts w:hint="eastAsia" w:ascii="宋体" w:hAnsi="宋体" w:eastAsia="宋体"/>
        </w:rPr>
        <w:t xml:space="preserve">dentify the </w:t>
      </w:r>
      <w:r>
        <w:rPr>
          <w:rFonts w:ascii="宋体" w:hAnsi="宋体" w:eastAsia="宋体"/>
        </w:rPr>
        <w:t xml:space="preserve">Pros. &amp; Cons. </w:t>
      </w:r>
      <w:r>
        <w:rPr>
          <w:rFonts w:hint="eastAsia" w:ascii="宋体" w:hAnsi="宋体" w:eastAsia="宋体"/>
        </w:rPr>
        <w:t>o</w:t>
      </w:r>
      <w:r>
        <w:rPr>
          <w:rFonts w:ascii="宋体" w:hAnsi="宋体" w:eastAsia="宋体"/>
        </w:rPr>
        <w:t>f Micro</w:t>
      </w:r>
      <w:r>
        <w:rPr>
          <w:rFonts w:hint="eastAsia" w:ascii="宋体" w:hAnsi="宋体" w:eastAsia="宋体"/>
        </w:rPr>
        <w:t>-</w:t>
      </w:r>
      <w:r>
        <w:rPr>
          <w:rFonts w:ascii="宋体" w:hAnsi="宋体" w:eastAsia="宋体"/>
        </w:rPr>
        <w:t>blog Advertising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/>
        </w:rPr>
      </w:pPr>
      <w:r>
        <w:rPr>
          <w:rFonts w:ascii="宋体" w:hAnsi="宋体" w:eastAsia="宋体"/>
        </w:rPr>
        <w:t>I</w:t>
      </w:r>
      <w:r>
        <w:rPr>
          <w:rFonts w:hint="eastAsia" w:ascii="宋体" w:hAnsi="宋体" w:eastAsia="宋体"/>
        </w:rPr>
        <w:t xml:space="preserve">dentify the </w:t>
      </w:r>
      <w:r>
        <w:rPr>
          <w:rFonts w:ascii="宋体" w:hAnsi="宋体" w:eastAsia="宋体"/>
        </w:rPr>
        <w:t xml:space="preserve">Pros. &amp; Cons. </w:t>
      </w:r>
      <w:r>
        <w:rPr>
          <w:rFonts w:hint="eastAsia" w:ascii="宋体" w:hAnsi="宋体" w:eastAsia="宋体"/>
        </w:rPr>
        <w:t>o</w:t>
      </w:r>
      <w:r>
        <w:rPr>
          <w:rFonts w:ascii="宋体" w:hAnsi="宋体" w:eastAsia="宋体"/>
        </w:rPr>
        <w:t>f Paid Listing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Understand Case analysis process</w:t>
      </w:r>
    </w:p>
    <w:p>
      <w:pPr>
        <w:pStyle w:val="3"/>
        <w:spacing w:before="156" w:after="156"/>
        <w:ind w:firstLine="420"/>
      </w:pPr>
      <w:r>
        <w:rPr>
          <w:rFonts w:hint="eastAsia"/>
        </w:rPr>
        <w:t>2</w:t>
      </w:r>
      <w:r>
        <w:t>.</w:t>
      </w:r>
      <w:r>
        <w:rPr>
          <w:rFonts w:hint="eastAsia"/>
        </w:rPr>
        <w:t>教学重难点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/>
        </w:rPr>
      </w:pPr>
      <w:r>
        <w:rPr>
          <w:rFonts w:ascii="宋体" w:hAnsi="宋体" w:eastAsia="宋体"/>
        </w:rPr>
        <w:t>Differentiate online advertising and offline advertising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Grasp SWOT analysis</w:t>
      </w:r>
    </w:p>
    <w:p>
      <w:pPr>
        <w:pStyle w:val="3"/>
        <w:spacing w:before="156" w:after="156"/>
        <w:ind w:firstLine="420"/>
      </w:pPr>
      <w:r>
        <w:rPr>
          <w:rFonts w:hint="eastAsia"/>
        </w:rPr>
        <w:t>3</w:t>
      </w:r>
      <w:r>
        <w:t>.</w:t>
      </w:r>
      <w:r>
        <w:rPr>
          <w:rFonts w:hint="eastAsia"/>
        </w:rPr>
        <w:t>教学内容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/>
        </w:rPr>
      </w:pPr>
      <w:r>
        <w:rPr>
          <w:rFonts w:hint="eastAsia" w:ascii="宋体" w:hAnsi="宋体" w:eastAsia="宋体"/>
        </w:rPr>
        <w:t xml:space="preserve">SWOT analysis 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Team presentation 5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/>
        </w:rPr>
      </w:pPr>
      <w:r>
        <w:rPr>
          <w:rFonts w:ascii="宋体" w:hAnsi="宋体" w:eastAsia="宋体"/>
        </w:rPr>
        <w:t>Microblog Advertising – Xiaomi’s Miracle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/>
        </w:rPr>
      </w:pPr>
      <w:r>
        <w:rPr>
          <w:rFonts w:ascii="宋体" w:hAnsi="宋体" w:eastAsia="宋体"/>
        </w:rPr>
        <w:t>Paid Listing– Profits Resources of Google</w:t>
      </w:r>
      <w:r>
        <w:rPr>
          <w:rFonts w:hint="eastAsia" w:ascii="宋体" w:hAnsi="宋体" w:eastAsia="宋体"/>
        </w:rPr>
        <w:t>(1)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/>
        </w:rPr>
      </w:pPr>
      <w:r>
        <w:rPr>
          <w:rFonts w:ascii="宋体" w:hAnsi="宋体" w:eastAsia="宋体"/>
        </w:rPr>
        <w:t>Paid Listing– Profits Resources of Google</w:t>
      </w:r>
      <w:r>
        <w:rPr>
          <w:rFonts w:hint="eastAsia" w:ascii="宋体" w:hAnsi="宋体" w:eastAsia="宋体"/>
        </w:rPr>
        <w:t>(2)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Case analysis process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Team presentation 6</w:t>
      </w:r>
    </w:p>
    <w:p>
      <w:pPr>
        <w:pStyle w:val="3"/>
        <w:spacing w:before="156" w:after="156"/>
        <w:ind w:firstLine="420"/>
      </w:pPr>
      <w:r>
        <w:rPr>
          <w:rFonts w:cs="TimesNewRomanPSMT"/>
        </w:rPr>
        <w:t>4.</w:t>
      </w:r>
      <w:r>
        <w:rPr>
          <w:rFonts w:hint="eastAsia"/>
        </w:rPr>
        <w:t>教学方法：case study</w:t>
      </w:r>
    </w:p>
    <w:p>
      <w:pPr>
        <w:pStyle w:val="3"/>
        <w:spacing w:before="156" w:after="156"/>
        <w:ind w:firstLine="420"/>
      </w:pPr>
      <w:r>
        <w:t>5.</w:t>
      </w:r>
      <w:r>
        <w:rPr>
          <w:rFonts w:hint="eastAsia"/>
        </w:rPr>
        <w:t>教学评价: 98</w:t>
      </w:r>
    </w:p>
    <w:p>
      <w:pPr>
        <w:spacing w:before="156" w:beforeLines="50" w:after="156" w:afterLines="50"/>
        <w:ind w:firstLine="562" w:firstLineChars="200"/>
        <w:jc w:val="left"/>
        <w:rPr>
          <w:rFonts w:hint="eastAsia" w:ascii="宋体" w:hAnsi="宋体" w:eastAsia="黑体"/>
          <w:szCs w:val="21"/>
          <w:lang w:eastAsia="zh-CN"/>
        </w:rPr>
      </w:pPr>
      <w:r>
        <w:rPr>
          <w:rFonts w:hint="eastAsia" w:ascii="黑体" w:hAnsi="黑体" w:eastAsia="黑体"/>
          <w:b/>
          <w:sz w:val="28"/>
          <w:szCs w:val="28"/>
        </w:rPr>
        <w:t>四、学时分配</w:t>
      </w:r>
    </w:p>
    <w:p>
      <w:pPr>
        <w:widowControl/>
        <w:spacing w:before="156" w:beforeLines="50" w:after="156" w:afterLines="50"/>
        <w:jc w:val="center"/>
        <w:rPr>
          <w:rFonts w:hint="eastAsia" w:ascii="黑体" w:hAnsi="黑体" w:eastAsia="宋体"/>
          <w:b/>
          <w:sz w:val="24"/>
          <w:szCs w:val="24"/>
          <w:lang w:eastAsia="zh-CN"/>
        </w:rPr>
      </w:pPr>
      <w:r>
        <w:rPr>
          <w:rFonts w:hint="eastAsia" w:ascii="宋体" w:hAnsi="宋体" w:eastAsia="宋体"/>
          <w:b/>
          <w:szCs w:val="21"/>
        </w:rPr>
        <w:t>表2：各章节的具体内容和学时分配表</w:t>
      </w:r>
    </w:p>
    <w:tbl>
      <w:tblPr>
        <w:tblStyle w:val="9"/>
        <w:tblW w:w="82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5"/>
        <w:gridCol w:w="2765"/>
        <w:gridCol w:w="27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765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章节</w:t>
            </w:r>
          </w:p>
        </w:tc>
        <w:tc>
          <w:tcPr>
            <w:tcW w:w="2765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章节内容</w:t>
            </w:r>
          </w:p>
        </w:tc>
        <w:tc>
          <w:tcPr>
            <w:tcW w:w="2766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学时分配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765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第一章</w:t>
            </w:r>
          </w:p>
        </w:tc>
        <w:tc>
          <w:tcPr>
            <w:tcW w:w="2765" w:type="dxa"/>
            <w:vAlign w:val="center"/>
          </w:tcPr>
          <w:p>
            <w:pPr>
              <w:widowControl/>
              <w:spacing w:before="156" w:beforeLines="50" w:after="156" w:afterLines="50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Chapter 1 Online Retailing - introduction to e-tailing</w:t>
            </w:r>
          </w:p>
        </w:tc>
        <w:tc>
          <w:tcPr>
            <w:tcW w:w="2766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765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第二章</w:t>
            </w:r>
          </w:p>
        </w:tc>
        <w:tc>
          <w:tcPr>
            <w:tcW w:w="2765" w:type="dxa"/>
            <w:vAlign w:val="center"/>
          </w:tcPr>
          <w:p>
            <w:pPr>
              <w:widowControl/>
              <w:spacing w:before="156" w:beforeLines="50" w:after="156" w:afterLines="50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Chapter 2 B2B E-commerce</w:t>
            </w:r>
          </w:p>
        </w:tc>
        <w:tc>
          <w:tcPr>
            <w:tcW w:w="2766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765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第三章</w:t>
            </w:r>
          </w:p>
        </w:tc>
        <w:tc>
          <w:tcPr>
            <w:tcW w:w="2765" w:type="dxa"/>
            <w:vAlign w:val="center"/>
          </w:tcPr>
          <w:p>
            <w:pPr>
              <w:widowControl/>
              <w:spacing w:before="156" w:beforeLines="50" w:after="156" w:afterLines="50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 xml:space="preserve">Chapter 3  Emergence of New E-commerce Models </w:t>
            </w:r>
          </w:p>
        </w:tc>
        <w:tc>
          <w:tcPr>
            <w:tcW w:w="2766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765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第四章</w:t>
            </w:r>
          </w:p>
        </w:tc>
        <w:tc>
          <w:tcPr>
            <w:tcW w:w="2765" w:type="dxa"/>
            <w:vAlign w:val="center"/>
          </w:tcPr>
          <w:p>
            <w:pPr>
              <w:widowControl/>
              <w:spacing w:before="156" w:beforeLines="50" w:after="156" w:afterLines="50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Chapter 4  Supply Chain &amp; Logistics</w:t>
            </w:r>
          </w:p>
        </w:tc>
        <w:tc>
          <w:tcPr>
            <w:tcW w:w="2766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765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第五章</w:t>
            </w:r>
          </w:p>
        </w:tc>
        <w:tc>
          <w:tcPr>
            <w:tcW w:w="2765" w:type="dxa"/>
            <w:vAlign w:val="center"/>
          </w:tcPr>
          <w:p>
            <w:pPr>
              <w:widowControl/>
              <w:spacing w:before="156" w:beforeLines="50" w:after="156" w:afterLines="50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Chapter 5 Personalization</w:t>
            </w:r>
          </w:p>
        </w:tc>
        <w:tc>
          <w:tcPr>
            <w:tcW w:w="2766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765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第六章</w:t>
            </w:r>
          </w:p>
        </w:tc>
        <w:tc>
          <w:tcPr>
            <w:tcW w:w="2765" w:type="dxa"/>
            <w:vAlign w:val="center"/>
          </w:tcPr>
          <w:p>
            <w:pPr>
              <w:widowControl/>
              <w:spacing w:before="156" w:beforeLines="50" w:after="156" w:afterLines="50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Chapter 6 Online Advertising - Introduction to Online Advertising</w:t>
            </w:r>
          </w:p>
        </w:tc>
        <w:tc>
          <w:tcPr>
            <w:tcW w:w="2766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6</w:t>
            </w:r>
          </w:p>
        </w:tc>
      </w:tr>
    </w:tbl>
    <w:p>
      <w:pPr>
        <w:widowControl/>
        <w:spacing w:before="156" w:beforeLines="50" w:after="156" w:afterLines="50"/>
        <w:ind w:firstLine="562" w:firstLineChars="200"/>
        <w:jc w:val="left"/>
        <w:rPr>
          <w:rFonts w:hint="eastAsia" w:eastAsia="黑体"/>
          <w:lang w:eastAsia="zh-CN"/>
        </w:rPr>
      </w:pPr>
      <w:r>
        <w:rPr>
          <w:rFonts w:hint="eastAsia" w:ascii="黑体" w:hAnsi="黑体" w:eastAsia="黑体"/>
          <w:b/>
          <w:sz w:val="28"/>
          <w:szCs w:val="28"/>
        </w:rPr>
        <w:t>五、教学进度</w:t>
      </w:r>
    </w:p>
    <w:p>
      <w:pPr>
        <w:widowControl/>
        <w:spacing w:before="156" w:beforeLines="50" w:after="156" w:afterLines="50"/>
        <w:jc w:val="center"/>
        <w:rPr>
          <w:rFonts w:hint="eastAsia" w:ascii="宋体" w:hAnsi="宋体" w:eastAsia="宋体"/>
          <w:szCs w:val="21"/>
          <w:lang w:eastAsia="zh-CN"/>
        </w:rPr>
      </w:pPr>
      <w:r>
        <w:rPr>
          <w:rFonts w:hint="eastAsia" w:ascii="宋体" w:hAnsi="宋体" w:eastAsia="宋体"/>
          <w:b/>
          <w:szCs w:val="21"/>
        </w:rPr>
        <w:t>表3：教学进度表</w:t>
      </w:r>
    </w:p>
    <w:tbl>
      <w:tblPr>
        <w:tblStyle w:val="9"/>
        <w:tblW w:w="82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3"/>
        <w:gridCol w:w="940"/>
        <w:gridCol w:w="1260"/>
        <w:gridCol w:w="2260"/>
        <w:gridCol w:w="690"/>
        <w:gridCol w:w="1130"/>
        <w:gridCol w:w="7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53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周次</w:t>
            </w:r>
          </w:p>
        </w:tc>
        <w:tc>
          <w:tcPr>
            <w:tcW w:w="940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日期</w:t>
            </w:r>
          </w:p>
        </w:tc>
        <w:tc>
          <w:tcPr>
            <w:tcW w:w="1260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章节名称</w:t>
            </w:r>
          </w:p>
        </w:tc>
        <w:tc>
          <w:tcPr>
            <w:tcW w:w="2260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内容提要</w:t>
            </w:r>
          </w:p>
        </w:tc>
        <w:tc>
          <w:tcPr>
            <w:tcW w:w="690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授课时数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作业及要求</w:t>
            </w:r>
          </w:p>
        </w:tc>
        <w:tc>
          <w:tcPr>
            <w:tcW w:w="763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53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1-3</w:t>
            </w:r>
          </w:p>
        </w:tc>
        <w:tc>
          <w:tcPr>
            <w:tcW w:w="940" w:type="dxa"/>
          </w:tcPr>
          <w:p>
            <w:pPr>
              <w:widowControl/>
              <w:spacing w:before="156" w:beforeLines="50" w:after="156" w:afterLines="50"/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260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Chapter 1 Online Retailing</w:t>
            </w:r>
          </w:p>
        </w:tc>
        <w:tc>
          <w:tcPr>
            <w:tcW w:w="2260" w:type="dxa"/>
            <w:vAlign w:val="center"/>
          </w:tcPr>
          <w:p>
            <w:pPr>
              <w:widowControl/>
              <w:numPr>
                <w:ilvl w:val="0"/>
                <w:numId w:val="4"/>
              </w:numPr>
              <w:ind w:left="200" w:hanging="20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Introduction to e-tailing</w:t>
            </w:r>
          </w:p>
          <w:p>
            <w:pPr>
              <w:widowControl/>
              <w:numPr>
                <w:ilvl w:val="0"/>
                <w:numId w:val="4"/>
              </w:numPr>
              <w:ind w:left="200" w:hanging="20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Case study 1</w:t>
            </w:r>
          </w:p>
          <w:p>
            <w:pPr>
              <w:widowControl/>
              <w:numPr>
                <w:ilvl w:val="0"/>
                <w:numId w:val="4"/>
              </w:numPr>
              <w:ind w:left="200" w:hanging="20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Case study 2</w:t>
            </w:r>
          </w:p>
          <w:p>
            <w:pPr>
              <w:widowControl/>
              <w:numPr>
                <w:ilvl w:val="0"/>
                <w:numId w:val="4"/>
              </w:numPr>
              <w:ind w:left="200" w:hanging="20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Cases analysis method</w:t>
            </w:r>
          </w:p>
        </w:tc>
        <w:tc>
          <w:tcPr>
            <w:tcW w:w="690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6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spacing w:before="156" w:beforeLines="50" w:after="156" w:afterLines="5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Team presentation: 自选案例，完成一次关于e-tailing的案例分析</w:t>
            </w:r>
          </w:p>
        </w:tc>
        <w:tc>
          <w:tcPr>
            <w:tcW w:w="763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53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4-6</w:t>
            </w:r>
          </w:p>
        </w:tc>
        <w:tc>
          <w:tcPr>
            <w:tcW w:w="940" w:type="dxa"/>
          </w:tcPr>
          <w:p>
            <w:pPr>
              <w:widowControl/>
              <w:spacing w:before="156" w:beforeLines="50" w:after="156" w:afterLines="50"/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260" w:type="dxa"/>
            <w:vAlign w:val="center"/>
          </w:tcPr>
          <w:p>
            <w:pPr>
              <w:widowControl/>
              <w:spacing w:before="156" w:beforeLines="50" w:after="156" w:afterLines="5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</w:rPr>
              <w:t>Chapter 2 B2B E-commerce</w:t>
            </w:r>
          </w:p>
        </w:tc>
        <w:tc>
          <w:tcPr>
            <w:tcW w:w="2260" w:type="dxa"/>
          </w:tcPr>
          <w:p>
            <w:pPr>
              <w:widowControl/>
              <w:numPr>
                <w:ilvl w:val="0"/>
                <w:numId w:val="4"/>
              </w:numPr>
              <w:ind w:left="200" w:hanging="20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Introduction to B2B e-commerce</w:t>
            </w:r>
          </w:p>
          <w:p>
            <w:pPr>
              <w:widowControl/>
              <w:numPr>
                <w:ilvl w:val="0"/>
                <w:numId w:val="4"/>
              </w:numPr>
              <w:ind w:left="200" w:hanging="20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Case study 1</w:t>
            </w:r>
          </w:p>
          <w:p>
            <w:pPr>
              <w:widowControl/>
              <w:numPr>
                <w:ilvl w:val="0"/>
                <w:numId w:val="4"/>
              </w:numPr>
              <w:ind w:left="200" w:hanging="20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Case study 2</w:t>
            </w:r>
          </w:p>
          <w:p>
            <w:pPr>
              <w:widowControl/>
              <w:numPr>
                <w:ilvl w:val="0"/>
                <w:numId w:val="4"/>
              </w:numPr>
              <w:ind w:left="200" w:hanging="20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Cases analysis method</w:t>
            </w:r>
          </w:p>
        </w:tc>
        <w:tc>
          <w:tcPr>
            <w:tcW w:w="690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6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spacing w:before="156" w:beforeLines="50" w:after="156" w:afterLines="5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Team presentation: 自选案例，完成一次关于B2B e-commerce的案例分析</w:t>
            </w:r>
          </w:p>
        </w:tc>
        <w:tc>
          <w:tcPr>
            <w:tcW w:w="763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53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7-9</w:t>
            </w:r>
          </w:p>
        </w:tc>
        <w:tc>
          <w:tcPr>
            <w:tcW w:w="940" w:type="dxa"/>
          </w:tcPr>
          <w:p>
            <w:pPr>
              <w:widowControl/>
              <w:spacing w:before="156" w:beforeLines="50" w:after="156" w:afterLines="50"/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260" w:type="dxa"/>
            <w:vAlign w:val="center"/>
          </w:tcPr>
          <w:p>
            <w:pPr>
              <w:widowControl/>
              <w:spacing w:before="156" w:beforeLines="50" w:after="156" w:afterLines="5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</w:rPr>
              <w:t xml:space="preserve">Chapter 3  Emergence of New E-commerce Models </w:t>
            </w:r>
          </w:p>
        </w:tc>
        <w:tc>
          <w:tcPr>
            <w:tcW w:w="2260" w:type="dxa"/>
          </w:tcPr>
          <w:p>
            <w:pPr>
              <w:widowControl/>
              <w:numPr>
                <w:ilvl w:val="0"/>
                <w:numId w:val="4"/>
              </w:numPr>
              <w:ind w:left="200" w:hanging="20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Introduction to new e-commerce business models</w:t>
            </w:r>
          </w:p>
          <w:p>
            <w:pPr>
              <w:widowControl/>
              <w:numPr>
                <w:ilvl w:val="0"/>
                <w:numId w:val="4"/>
              </w:numPr>
              <w:ind w:left="200" w:hanging="20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Case study 1</w:t>
            </w:r>
          </w:p>
          <w:p>
            <w:pPr>
              <w:widowControl/>
              <w:numPr>
                <w:ilvl w:val="0"/>
                <w:numId w:val="4"/>
              </w:numPr>
              <w:ind w:left="200" w:hanging="20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Case study 2</w:t>
            </w:r>
          </w:p>
          <w:p>
            <w:pPr>
              <w:widowControl/>
              <w:numPr>
                <w:ilvl w:val="0"/>
                <w:numId w:val="4"/>
              </w:numPr>
              <w:ind w:left="200" w:hanging="20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Cases analysis method</w:t>
            </w:r>
          </w:p>
        </w:tc>
        <w:tc>
          <w:tcPr>
            <w:tcW w:w="690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6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spacing w:before="156" w:beforeLines="50" w:after="156" w:afterLines="5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Team presentation: 自选案例，完成一次关于new e-commerce business models的案例分析</w:t>
            </w:r>
          </w:p>
        </w:tc>
        <w:tc>
          <w:tcPr>
            <w:tcW w:w="763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53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10-11</w:t>
            </w:r>
          </w:p>
        </w:tc>
        <w:tc>
          <w:tcPr>
            <w:tcW w:w="940" w:type="dxa"/>
          </w:tcPr>
          <w:p>
            <w:pPr>
              <w:widowControl/>
              <w:spacing w:before="156" w:beforeLines="50" w:after="156" w:afterLines="50"/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260" w:type="dxa"/>
            <w:vAlign w:val="center"/>
          </w:tcPr>
          <w:p>
            <w:pPr>
              <w:widowControl/>
              <w:spacing w:before="156" w:beforeLines="50" w:after="156" w:afterLines="5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</w:rPr>
              <w:t>Chapter 4  Supply Chain &amp; Logistics</w:t>
            </w:r>
          </w:p>
        </w:tc>
        <w:tc>
          <w:tcPr>
            <w:tcW w:w="2260" w:type="dxa"/>
            <w:vAlign w:val="center"/>
          </w:tcPr>
          <w:p>
            <w:pPr>
              <w:widowControl/>
              <w:numPr>
                <w:ilvl w:val="0"/>
                <w:numId w:val="4"/>
              </w:numPr>
              <w:ind w:left="200" w:hanging="20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Introduction to </w:t>
            </w:r>
            <w:r>
              <w:rPr>
                <w:rFonts w:hint="eastAsia" w:ascii="宋体" w:hAnsi="宋体" w:eastAsia="宋体"/>
              </w:rPr>
              <w:t>Supply Chain &amp; Logistics</w:t>
            </w:r>
          </w:p>
          <w:p>
            <w:pPr>
              <w:widowControl/>
              <w:numPr>
                <w:ilvl w:val="0"/>
                <w:numId w:val="4"/>
              </w:numPr>
              <w:ind w:left="200" w:hanging="20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Case study 1</w:t>
            </w:r>
          </w:p>
          <w:p>
            <w:pPr>
              <w:widowControl/>
              <w:numPr>
                <w:ilvl w:val="0"/>
                <w:numId w:val="4"/>
              </w:numPr>
              <w:ind w:left="200" w:hanging="20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Case study 2</w:t>
            </w:r>
          </w:p>
          <w:p>
            <w:pPr>
              <w:widowControl/>
              <w:numPr>
                <w:ilvl w:val="0"/>
                <w:numId w:val="4"/>
              </w:numPr>
              <w:ind w:left="200" w:hanging="20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Cases analysis method</w:t>
            </w:r>
          </w:p>
        </w:tc>
        <w:tc>
          <w:tcPr>
            <w:tcW w:w="690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4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spacing w:before="156" w:beforeLines="50" w:after="156" w:afterLines="5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Team presentation: 自选案例，完成一次关于Supply Chain &amp; Logistics的案例分析</w:t>
            </w:r>
          </w:p>
        </w:tc>
        <w:tc>
          <w:tcPr>
            <w:tcW w:w="763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53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12-14</w:t>
            </w:r>
          </w:p>
        </w:tc>
        <w:tc>
          <w:tcPr>
            <w:tcW w:w="940" w:type="dxa"/>
          </w:tcPr>
          <w:p>
            <w:pPr>
              <w:widowControl/>
              <w:spacing w:before="156" w:beforeLines="50" w:after="156" w:afterLines="50"/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260" w:type="dxa"/>
            <w:vAlign w:val="center"/>
          </w:tcPr>
          <w:p>
            <w:pPr>
              <w:widowControl/>
              <w:spacing w:before="156" w:beforeLines="50" w:after="156" w:afterLines="5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</w:rPr>
              <w:t>Chapter 5 Personalization</w:t>
            </w:r>
          </w:p>
        </w:tc>
        <w:tc>
          <w:tcPr>
            <w:tcW w:w="2260" w:type="dxa"/>
            <w:vAlign w:val="center"/>
          </w:tcPr>
          <w:p>
            <w:pPr>
              <w:widowControl/>
              <w:numPr>
                <w:ilvl w:val="0"/>
                <w:numId w:val="4"/>
              </w:numPr>
              <w:ind w:left="200" w:hanging="20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Introduction to Personalization</w:t>
            </w:r>
          </w:p>
          <w:p>
            <w:pPr>
              <w:widowControl/>
              <w:numPr>
                <w:ilvl w:val="0"/>
                <w:numId w:val="4"/>
              </w:numPr>
              <w:ind w:left="200" w:hanging="20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Case study 1</w:t>
            </w:r>
          </w:p>
          <w:p>
            <w:pPr>
              <w:widowControl/>
              <w:numPr>
                <w:ilvl w:val="0"/>
                <w:numId w:val="4"/>
              </w:numPr>
              <w:ind w:left="200" w:hanging="20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Case study 2</w:t>
            </w:r>
          </w:p>
          <w:p>
            <w:pPr>
              <w:widowControl/>
              <w:numPr>
                <w:ilvl w:val="0"/>
                <w:numId w:val="4"/>
              </w:numPr>
              <w:ind w:left="200" w:hanging="20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Cases analysis method</w:t>
            </w:r>
          </w:p>
        </w:tc>
        <w:tc>
          <w:tcPr>
            <w:tcW w:w="690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6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spacing w:before="156" w:beforeLines="50" w:after="156" w:afterLines="5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Team presentation: 自选案例，完成一次关于Personalization的案例分析</w:t>
            </w:r>
          </w:p>
        </w:tc>
        <w:tc>
          <w:tcPr>
            <w:tcW w:w="763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53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15-17</w:t>
            </w:r>
          </w:p>
        </w:tc>
        <w:tc>
          <w:tcPr>
            <w:tcW w:w="940" w:type="dxa"/>
          </w:tcPr>
          <w:p>
            <w:pPr>
              <w:widowControl/>
              <w:spacing w:before="156" w:beforeLines="50" w:after="156" w:afterLines="50"/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260" w:type="dxa"/>
            <w:vAlign w:val="center"/>
          </w:tcPr>
          <w:p>
            <w:pPr>
              <w:widowControl/>
              <w:spacing w:before="156" w:beforeLines="50" w:after="156" w:afterLines="5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</w:rPr>
              <w:t>Chapter 6 Online Advertising - Introduction to Online Advertising</w:t>
            </w:r>
          </w:p>
        </w:tc>
        <w:tc>
          <w:tcPr>
            <w:tcW w:w="2260" w:type="dxa"/>
            <w:vAlign w:val="center"/>
          </w:tcPr>
          <w:p>
            <w:pPr>
              <w:widowControl/>
              <w:numPr>
                <w:ilvl w:val="0"/>
                <w:numId w:val="4"/>
              </w:numPr>
              <w:ind w:left="200" w:hanging="20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Introduction to online advertising</w:t>
            </w:r>
          </w:p>
          <w:p>
            <w:pPr>
              <w:widowControl/>
              <w:numPr>
                <w:ilvl w:val="0"/>
                <w:numId w:val="4"/>
              </w:numPr>
              <w:ind w:left="200" w:hanging="20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Case study 1</w:t>
            </w:r>
          </w:p>
          <w:p>
            <w:pPr>
              <w:widowControl/>
              <w:numPr>
                <w:ilvl w:val="0"/>
                <w:numId w:val="4"/>
              </w:numPr>
              <w:ind w:left="200" w:hanging="20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Case study 2</w:t>
            </w:r>
          </w:p>
          <w:p>
            <w:pPr>
              <w:widowControl/>
              <w:numPr>
                <w:ilvl w:val="0"/>
                <w:numId w:val="4"/>
              </w:numPr>
              <w:ind w:left="200" w:hanging="20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Cases analysis method</w:t>
            </w:r>
          </w:p>
        </w:tc>
        <w:tc>
          <w:tcPr>
            <w:tcW w:w="690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6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spacing w:before="156" w:beforeLines="50" w:after="156" w:afterLines="5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Team presentation: 自选案例，完成一次关于online advertising的案例分析</w:t>
            </w:r>
          </w:p>
        </w:tc>
        <w:tc>
          <w:tcPr>
            <w:tcW w:w="763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szCs w:val="21"/>
              </w:rPr>
            </w:pPr>
          </w:p>
        </w:tc>
      </w:tr>
    </w:tbl>
    <w:p>
      <w:pPr>
        <w:widowControl/>
        <w:spacing w:before="156" w:beforeLines="50" w:after="156" w:afterLines="50"/>
        <w:ind w:firstLine="562" w:firstLineChars="200"/>
        <w:jc w:val="left"/>
        <w:rPr>
          <w:rFonts w:hint="eastAsia" w:eastAsia="黑体"/>
          <w:lang w:eastAsia="zh-CN"/>
        </w:rPr>
      </w:pPr>
      <w:r>
        <w:rPr>
          <w:rFonts w:hint="eastAsia" w:ascii="黑体" w:hAnsi="黑体" w:eastAsia="黑体"/>
          <w:b/>
          <w:sz w:val="28"/>
          <w:szCs w:val="28"/>
        </w:rPr>
        <w:t>六、教材及参考书目</w:t>
      </w:r>
    </w:p>
    <w:p>
      <w:pPr>
        <w:widowControl/>
        <w:spacing w:before="156" w:beforeLines="50" w:after="156" w:afterLines="50"/>
        <w:ind w:firstLine="420" w:firstLineChars="200"/>
        <w:jc w:val="left"/>
        <w:rPr>
          <w:rFonts w:hint="eastAsia" w:ascii="宋体" w:hAnsi="宋体" w:eastAsia="宋体"/>
          <w:lang w:eastAsia="zh-CN"/>
        </w:rPr>
      </w:pPr>
      <w:r>
        <w:rPr>
          <w:rFonts w:hint="eastAsia" w:ascii="宋体" w:hAnsi="宋体" w:eastAsia="宋体"/>
        </w:rPr>
        <w:t>（电子学术资源、纸质学术资源等，按规范方式列举）</w:t>
      </w:r>
    </w:p>
    <w:p>
      <w:pPr>
        <w:widowControl/>
        <w:spacing w:before="156" w:beforeLines="50" w:after="156" w:afterLines="50"/>
        <w:ind w:firstLine="420" w:firstLineChars="200"/>
        <w:jc w:val="left"/>
        <w:rPr>
          <w:rFonts w:ascii="宋体" w:hAnsi="宋体" w:eastAsia="宋体"/>
        </w:rPr>
      </w:pPr>
      <w:r>
        <w:rPr>
          <w:rFonts w:ascii="宋体" w:hAnsi="宋体" w:eastAsia="宋体"/>
        </w:rPr>
        <w:t>1</w:t>
      </w:r>
      <w:r>
        <w:rPr>
          <w:rFonts w:hint="eastAsia" w:ascii="宋体" w:hAnsi="宋体" w:eastAsia="宋体"/>
        </w:rPr>
        <w:t>．《电子商务案例分析》，王丹萍，复旦大学出版社，2018</w:t>
      </w:r>
    </w:p>
    <w:p>
      <w:pPr>
        <w:widowControl/>
        <w:spacing w:before="156" w:beforeLines="50" w:after="156" w:afterLines="50"/>
        <w:ind w:firstLine="420" w:firstLineChars="200"/>
        <w:jc w:val="left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2．INTRODUCTION TO E-COMMERCE，Efraim Turban，人民大学出版社，2017</w:t>
      </w:r>
    </w:p>
    <w:p>
      <w:pPr>
        <w:widowControl/>
        <w:spacing w:before="156" w:beforeLines="50" w:after="156" w:afterLines="50"/>
        <w:ind w:firstLine="562" w:firstLineChars="200"/>
        <w:jc w:val="left"/>
        <w:rPr>
          <w:rFonts w:hint="eastAsia" w:ascii="宋体" w:hAnsi="宋体" w:eastAsia="黑体"/>
          <w:lang w:eastAsia="zh-CN"/>
        </w:rPr>
      </w:pPr>
      <w:r>
        <w:rPr>
          <w:rFonts w:hint="eastAsia" w:ascii="黑体" w:hAnsi="黑体" w:eastAsia="黑体"/>
          <w:b/>
          <w:sz w:val="28"/>
          <w:szCs w:val="28"/>
        </w:rPr>
        <w:t xml:space="preserve">七、教学方法 </w:t>
      </w:r>
    </w:p>
    <w:p>
      <w:pPr>
        <w:widowControl/>
        <w:spacing w:before="156" w:beforeLines="50" w:after="156" w:afterLines="50"/>
        <w:ind w:firstLine="420" w:firstLineChars="200"/>
        <w:jc w:val="left"/>
        <w:rPr>
          <w:rFonts w:hint="eastAsia" w:ascii="宋体" w:hAnsi="宋体" w:eastAsia="宋体"/>
          <w:lang w:eastAsia="zh-CN"/>
        </w:rPr>
      </w:pPr>
      <w:r>
        <w:rPr>
          <w:rFonts w:hint="eastAsia" w:ascii="宋体" w:hAnsi="宋体" w:eastAsia="宋体"/>
        </w:rPr>
        <w:t>（讲授法、讨论法、案例教学法等，按规范方式列举，并进行简要说明）</w:t>
      </w:r>
    </w:p>
    <w:p>
      <w:pPr>
        <w:widowControl/>
        <w:spacing w:before="156" w:beforeLines="50" w:after="156" w:afterLines="50"/>
        <w:ind w:firstLine="420" w:firstLineChars="200"/>
        <w:jc w:val="left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1．讲授法：主要讲解电子商务的基本概念和理论</w:t>
      </w:r>
    </w:p>
    <w:p>
      <w:pPr>
        <w:widowControl/>
        <w:spacing w:before="156" w:beforeLines="50" w:after="156" w:afterLines="50"/>
        <w:ind w:firstLine="420" w:firstLineChars="200"/>
        <w:jc w:val="left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2．案例教学法：每一章带领学生采用特定的案例分析方法分析2个案例</w:t>
      </w:r>
    </w:p>
    <w:p>
      <w:pPr>
        <w:widowControl/>
        <w:spacing w:before="156" w:beforeLines="50" w:after="156" w:afterLines="50"/>
        <w:jc w:val="left"/>
        <w:rPr>
          <w:rFonts w:hint="eastAsia" w:ascii="黑体" w:hAnsi="黑体" w:eastAsia="黑体"/>
          <w:b/>
          <w:sz w:val="28"/>
          <w:szCs w:val="28"/>
          <w:lang w:eastAsia="zh-CN"/>
        </w:rPr>
      </w:pPr>
      <w:r>
        <w:rPr>
          <w:rFonts w:hint="eastAsia" w:ascii="宋体" w:hAnsi="宋体" w:eastAsia="宋体"/>
        </w:rPr>
        <w:t xml:space="preserve"> </w:t>
      </w:r>
      <w:r>
        <w:rPr>
          <w:rFonts w:ascii="宋体" w:hAnsi="宋体" w:eastAsia="宋体"/>
        </w:rPr>
        <w:t xml:space="preserve">     </w:t>
      </w:r>
      <w:r>
        <w:rPr>
          <w:rFonts w:hint="eastAsia" w:ascii="黑体" w:hAnsi="黑体" w:eastAsia="黑体"/>
          <w:b/>
          <w:sz w:val="28"/>
          <w:szCs w:val="28"/>
        </w:rPr>
        <w:t>八、考核方式及评定方法</w:t>
      </w:r>
    </w:p>
    <w:p>
      <w:pPr>
        <w:widowControl/>
        <w:spacing w:before="156" w:beforeLines="50" w:after="156" w:afterLines="50"/>
        <w:ind w:firstLine="482" w:firstLineChars="200"/>
        <w:jc w:val="left"/>
        <w:rPr>
          <w:rFonts w:hint="eastAsia" w:ascii="黑体" w:hAnsi="黑体" w:eastAsia="黑体"/>
          <w:b/>
          <w:sz w:val="24"/>
          <w:szCs w:val="24"/>
          <w:lang w:eastAsia="zh-CN"/>
        </w:rPr>
      </w:pPr>
      <w:r>
        <w:rPr>
          <w:rFonts w:hint="eastAsia" w:ascii="黑体" w:hAnsi="黑体" w:eastAsia="黑体"/>
          <w:b/>
          <w:sz w:val="24"/>
          <w:szCs w:val="24"/>
        </w:rPr>
        <w:t xml:space="preserve">（一）课程考核与课程目标的对应关系 </w:t>
      </w:r>
    </w:p>
    <w:p>
      <w:pPr>
        <w:widowControl/>
        <w:spacing w:before="156" w:beforeLines="50" w:after="156" w:afterLines="50"/>
        <w:jc w:val="center"/>
        <w:rPr>
          <w:rFonts w:hint="eastAsia" w:ascii="宋体" w:hAnsi="宋体" w:eastAsia="宋体"/>
          <w:szCs w:val="21"/>
          <w:lang w:eastAsia="zh-CN"/>
        </w:rPr>
      </w:pPr>
      <w:r>
        <w:rPr>
          <w:rFonts w:hint="eastAsia" w:ascii="宋体" w:hAnsi="宋体" w:eastAsia="宋体"/>
          <w:b/>
          <w:szCs w:val="21"/>
        </w:rPr>
        <w:t>表4：课程考核与课程目标的对应关系表</w:t>
      </w:r>
    </w:p>
    <w:tbl>
      <w:tblPr>
        <w:tblStyle w:val="8"/>
        <w:tblW w:w="85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7"/>
        <w:gridCol w:w="2849"/>
        <w:gridCol w:w="28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47" w:type="dxa"/>
            <w:vAlign w:val="center"/>
          </w:tcPr>
          <w:p>
            <w:pPr>
              <w:pStyle w:val="4"/>
              <w:spacing w:before="156" w:beforeLines="50" w:after="156" w:afterLines="50"/>
              <w:jc w:val="center"/>
              <w:rPr>
                <w:rFonts w:hAnsi="宋体"/>
                <w:b/>
              </w:rPr>
            </w:pPr>
            <w:r>
              <w:rPr>
                <w:rFonts w:hint="eastAsia" w:hAnsi="宋体"/>
                <w:b/>
              </w:rPr>
              <w:t>课程目标</w:t>
            </w:r>
          </w:p>
        </w:tc>
        <w:tc>
          <w:tcPr>
            <w:tcW w:w="2849" w:type="dxa"/>
            <w:vAlign w:val="center"/>
          </w:tcPr>
          <w:p>
            <w:pPr>
              <w:pStyle w:val="4"/>
              <w:spacing w:before="156" w:beforeLines="50" w:after="156" w:afterLines="50"/>
              <w:jc w:val="center"/>
              <w:rPr>
                <w:rFonts w:hAnsi="宋体"/>
                <w:b/>
              </w:rPr>
            </w:pPr>
            <w:r>
              <w:rPr>
                <w:rFonts w:hint="eastAsia" w:hAnsi="宋体"/>
                <w:b/>
              </w:rPr>
              <w:t>考核要点</w:t>
            </w:r>
          </w:p>
        </w:tc>
        <w:tc>
          <w:tcPr>
            <w:tcW w:w="2849" w:type="dxa"/>
            <w:vAlign w:val="center"/>
          </w:tcPr>
          <w:p>
            <w:pPr>
              <w:pStyle w:val="4"/>
              <w:spacing w:before="156" w:beforeLines="50" w:after="156" w:afterLines="50"/>
              <w:jc w:val="center"/>
              <w:rPr>
                <w:rFonts w:hAnsi="宋体"/>
                <w:b/>
              </w:rPr>
            </w:pPr>
            <w:r>
              <w:rPr>
                <w:rFonts w:hint="eastAsia" w:hAnsi="宋体"/>
                <w:b/>
              </w:rPr>
              <w:t>考核方式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47" w:type="dxa"/>
            <w:vAlign w:val="center"/>
          </w:tcPr>
          <w:p>
            <w:pPr>
              <w:pStyle w:val="4"/>
              <w:spacing w:before="156" w:beforeLines="50" w:after="156" w:afterLines="50"/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>课程目标1</w:t>
            </w:r>
          </w:p>
        </w:tc>
        <w:tc>
          <w:tcPr>
            <w:tcW w:w="2849" w:type="dxa"/>
            <w:vAlign w:val="center"/>
          </w:tcPr>
          <w:p>
            <w:pPr>
              <w:pStyle w:val="4"/>
              <w:spacing w:before="156" w:beforeLines="50" w:after="156" w:afterLines="50"/>
              <w:rPr>
                <w:rFonts w:hAnsi="宋体" w:cs="宋体"/>
              </w:rPr>
            </w:pPr>
            <w:r>
              <w:rPr>
                <w:rFonts w:hint="eastAsia" w:hAnsi="宋体" w:cs="宋体"/>
              </w:rPr>
              <w:t>电子商务的相关基本概念及相关基础理论</w:t>
            </w:r>
          </w:p>
        </w:tc>
        <w:tc>
          <w:tcPr>
            <w:tcW w:w="2849" w:type="dxa"/>
            <w:vAlign w:val="center"/>
          </w:tcPr>
          <w:p>
            <w:pPr>
              <w:pStyle w:val="4"/>
              <w:spacing w:before="156" w:beforeLines="50" w:after="156" w:afterLines="50"/>
              <w:jc w:val="center"/>
              <w:rPr>
                <w:rFonts w:hAnsi="宋体"/>
                <w:b/>
              </w:rPr>
            </w:pPr>
            <w:r>
              <w:rPr>
                <w:rFonts w:hint="eastAsia" w:hAnsi="宋体"/>
                <w:bCs/>
              </w:rPr>
              <w:t>小组presentation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47" w:type="dxa"/>
            <w:vAlign w:val="center"/>
          </w:tcPr>
          <w:p>
            <w:pPr>
              <w:pStyle w:val="4"/>
              <w:spacing w:before="156" w:beforeLines="50" w:after="156" w:afterLines="50"/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>课程目标2</w:t>
            </w:r>
          </w:p>
        </w:tc>
        <w:tc>
          <w:tcPr>
            <w:tcW w:w="2849" w:type="dxa"/>
            <w:vAlign w:val="center"/>
          </w:tcPr>
          <w:p>
            <w:pPr>
              <w:pStyle w:val="4"/>
              <w:spacing w:before="156" w:beforeLines="50" w:after="156" w:afterLines="50"/>
              <w:ind w:firstLine="420" w:firstLineChars="200"/>
              <w:rPr>
                <w:rFonts w:hAnsi="宋体" w:cs="宋体"/>
              </w:rPr>
            </w:pPr>
            <w:r>
              <w:rPr>
                <w:rFonts w:hint="eastAsia" w:hAnsi="宋体" w:cs="宋体"/>
              </w:rPr>
              <w:t>案例分析方法</w:t>
            </w:r>
          </w:p>
        </w:tc>
        <w:tc>
          <w:tcPr>
            <w:tcW w:w="2849" w:type="dxa"/>
            <w:vAlign w:val="center"/>
          </w:tcPr>
          <w:p>
            <w:pPr>
              <w:pStyle w:val="4"/>
              <w:spacing w:before="156" w:beforeLines="50" w:after="156" w:afterLines="50"/>
              <w:jc w:val="center"/>
              <w:rPr>
                <w:rFonts w:hAnsi="宋体"/>
                <w:b/>
              </w:rPr>
            </w:pPr>
            <w:r>
              <w:rPr>
                <w:rFonts w:hint="eastAsia" w:hAnsi="宋体"/>
                <w:bCs/>
              </w:rPr>
              <w:t>小组presentation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47" w:type="dxa"/>
            <w:vAlign w:val="center"/>
          </w:tcPr>
          <w:p>
            <w:pPr>
              <w:pStyle w:val="4"/>
              <w:spacing w:before="156" w:beforeLines="50" w:after="156" w:afterLines="50"/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>课程目标3</w:t>
            </w:r>
          </w:p>
        </w:tc>
        <w:tc>
          <w:tcPr>
            <w:tcW w:w="2849" w:type="dxa"/>
            <w:vAlign w:val="center"/>
          </w:tcPr>
          <w:p>
            <w:pPr>
              <w:pStyle w:val="4"/>
              <w:spacing w:before="156" w:beforeLines="50" w:after="156" w:afterLines="50"/>
              <w:ind w:firstLine="420" w:firstLineChars="200"/>
              <w:rPr>
                <w:rFonts w:hAnsi="宋体" w:cs="宋体"/>
              </w:rPr>
            </w:pPr>
            <w:r>
              <w:rPr>
                <w:rFonts w:hint="eastAsia" w:hAnsi="宋体" w:cs="宋体"/>
              </w:rPr>
              <w:t>英语表达能力</w:t>
            </w:r>
          </w:p>
        </w:tc>
        <w:tc>
          <w:tcPr>
            <w:tcW w:w="2849" w:type="dxa"/>
            <w:vAlign w:val="center"/>
          </w:tcPr>
          <w:p>
            <w:pPr>
              <w:pStyle w:val="4"/>
              <w:spacing w:before="156" w:beforeLines="50" w:after="156" w:afterLines="50"/>
              <w:jc w:val="center"/>
              <w:rPr>
                <w:rFonts w:hAnsi="宋体"/>
                <w:b/>
              </w:rPr>
            </w:pPr>
            <w:r>
              <w:rPr>
                <w:rFonts w:hint="eastAsia" w:hAnsi="宋体"/>
                <w:bCs/>
              </w:rPr>
              <w:t>课堂讨论</w:t>
            </w:r>
          </w:p>
        </w:tc>
      </w:tr>
    </w:tbl>
    <w:p>
      <w:pPr>
        <w:widowControl/>
        <w:spacing w:before="156" w:beforeLines="50" w:after="156" w:afterLines="50"/>
        <w:ind w:firstLine="482" w:firstLineChars="200"/>
        <w:jc w:val="left"/>
        <w:rPr>
          <w:rFonts w:hint="eastAsia" w:ascii="黑体" w:hAnsi="黑体" w:eastAsia="黑体"/>
          <w:b/>
          <w:sz w:val="24"/>
          <w:szCs w:val="24"/>
          <w:lang w:eastAsia="zh-CN"/>
        </w:rPr>
      </w:pPr>
      <w:r>
        <w:rPr>
          <w:rFonts w:hint="eastAsia" w:ascii="黑体" w:hAnsi="黑体" w:eastAsia="黑体"/>
          <w:b/>
          <w:sz w:val="24"/>
          <w:szCs w:val="24"/>
        </w:rPr>
        <w:t xml:space="preserve">（二）评定方法 </w:t>
      </w:r>
    </w:p>
    <w:p>
      <w:pPr>
        <w:widowControl/>
        <w:spacing w:before="156" w:beforeLines="50" w:after="156" w:afterLines="50"/>
        <w:ind w:firstLine="422" w:firstLineChars="200"/>
        <w:jc w:val="left"/>
        <w:rPr>
          <w:rFonts w:hint="eastAsia" w:ascii="黑体" w:hAnsi="黑体" w:eastAsia="宋体"/>
          <w:b/>
          <w:sz w:val="24"/>
          <w:szCs w:val="24"/>
          <w:lang w:eastAsia="zh-CN"/>
        </w:rPr>
      </w:pPr>
      <w:r>
        <w:rPr>
          <w:rFonts w:hint="eastAsia" w:ascii="宋体" w:hAnsi="宋体" w:eastAsia="宋体"/>
          <w:b/>
        </w:rPr>
        <w:t xml:space="preserve">1．评定方法 </w:t>
      </w:r>
    </w:p>
    <w:p>
      <w:pPr>
        <w:widowControl/>
        <w:spacing w:before="156" w:beforeLines="50" w:after="156" w:afterLines="50"/>
        <w:jc w:val="left"/>
        <w:rPr>
          <w:rFonts w:hint="eastAsia" w:ascii="宋体" w:hAnsi="宋体" w:eastAsia="宋体"/>
          <w:lang w:eastAsia="zh-CN"/>
        </w:rPr>
      </w:pPr>
      <w:r>
        <w:rPr>
          <w:rFonts w:hint="eastAsia" w:ascii="宋体" w:hAnsi="宋体" w:eastAsia="宋体"/>
        </w:rPr>
        <w:t>（例：平时成绩：1</w:t>
      </w:r>
      <w:r>
        <w:rPr>
          <w:rFonts w:ascii="宋体" w:hAnsi="宋体" w:eastAsia="宋体"/>
        </w:rPr>
        <w:t>0%</w:t>
      </w:r>
      <w:r>
        <w:rPr>
          <w:rFonts w:hint="eastAsia" w:ascii="宋体" w:hAnsi="宋体" w:eastAsia="宋体"/>
        </w:rPr>
        <w:t>，期中考试：3</w:t>
      </w:r>
      <w:r>
        <w:rPr>
          <w:rFonts w:ascii="宋体" w:hAnsi="宋体" w:eastAsia="宋体"/>
        </w:rPr>
        <w:t>0%</w:t>
      </w:r>
      <w:r>
        <w:rPr>
          <w:rFonts w:hint="eastAsia" w:ascii="宋体" w:hAnsi="宋体" w:eastAsia="宋体"/>
        </w:rPr>
        <w:t>，期末考试6</w:t>
      </w:r>
      <w:r>
        <w:rPr>
          <w:rFonts w:ascii="宋体" w:hAnsi="宋体" w:eastAsia="宋体"/>
        </w:rPr>
        <w:t>0%</w:t>
      </w:r>
      <w:r>
        <w:rPr>
          <w:rFonts w:hint="eastAsia" w:ascii="宋体" w:hAnsi="宋体" w:eastAsia="宋体"/>
        </w:rPr>
        <w:t>，按课程考核实际情况描述）</w:t>
      </w:r>
    </w:p>
    <w:p>
      <w:pPr>
        <w:widowControl/>
        <w:spacing w:before="156" w:beforeLines="50" w:after="156" w:afterLines="50"/>
        <w:ind w:firstLine="422" w:firstLineChars="200"/>
        <w:jc w:val="left"/>
        <w:rPr>
          <w:rFonts w:hint="eastAsia" w:ascii="宋体" w:hAnsi="宋体" w:eastAsia="宋体"/>
          <w:lang w:eastAsia="zh-CN"/>
        </w:rPr>
      </w:pPr>
      <w:r>
        <w:rPr>
          <w:rFonts w:hint="eastAsia" w:ascii="宋体" w:hAnsi="宋体" w:eastAsia="宋体"/>
          <w:b/>
        </w:rPr>
        <w:t xml:space="preserve">2．课程目标的考核占比与达成度分析 </w:t>
      </w:r>
    </w:p>
    <w:p>
      <w:pPr>
        <w:widowControl/>
        <w:spacing w:before="156" w:beforeLines="50" w:after="156" w:afterLines="50"/>
        <w:ind w:firstLine="422" w:firstLineChars="200"/>
        <w:jc w:val="center"/>
        <w:rPr>
          <w:rFonts w:hint="eastAsia" w:ascii="宋体" w:hAnsi="宋体" w:eastAsia="宋体"/>
          <w:b/>
          <w:lang w:eastAsia="zh-CN"/>
        </w:rPr>
      </w:pPr>
      <w:r>
        <w:rPr>
          <w:rFonts w:hint="eastAsia" w:ascii="宋体" w:hAnsi="宋体" w:eastAsia="宋体"/>
          <w:b/>
        </w:rPr>
        <w:t>表5：课程目标的考核占比与达成度分析表</w:t>
      </w:r>
    </w:p>
    <w:tbl>
      <w:tblPr>
        <w:tblStyle w:val="8"/>
        <w:tblW w:w="78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858"/>
        <w:gridCol w:w="1134"/>
        <w:gridCol w:w="1134"/>
        <w:gridCol w:w="26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2" w:type="dxa"/>
            <w:tcBorders>
              <w:tl2br w:val="single" w:color="auto" w:sz="4" w:space="0"/>
            </w:tcBorders>
            <w:shd w:val="clear" w:color="auto" w:fill="auto"/>
            <w:vAlign w:val="center"/>
          </w:tcPr>
          <w:p>
            <w:pPr>
              <w:spacing w:before="156" w:beforeLines="50" w:after="156" w:afterLines="50"/>
              <w:rPr>
                <w:rFonts w:ascii="宋体" w:hAnsi="宋体" w:eastAsia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kern w:val="0"/>
                <w:szCs w:val="21"/>
              </w:rPr>
              <w:t xml:space="preserve"> </w:t>
            </w:r>
            <w:r>
              <w:rPr>
                <w:rFonts w:ascii="宋体" w:hAnsi="宋体" w:eastAsia="宋体"/>
                <w:b/>
                <w:bCs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eastAsia="宋体"/>
                <w:b/>
                <w:bCs/>
                <w:kern w:val="0"/>
                <w:szCs w:val="21"/>
              </w:rPr>
              <w:t xml:space="preserve"> </w:t>
            </w:r>
            <w:r>
              <w:rPr>
                <w:rFonts w:ascii="宋体" w:hAnsi="宋体" w:eastAsia="宋体"/>
                <w:b/>
                <w:bCs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eastAsia="宋体"/>
                <w:b/>
                <w:bCs/>
                <w:kern w:val="0"/>
                <w:szCs w:val="21"/>
              </w:rPr>
              <w:t>考核占比</w:t>
            </w:r>
          </w:p>
          <w:p>
            <w:pPr>
              <w:spacing w:before="156" w:beforeLines="50" w:after="156" w:afterLines="50"/>
              <w:ind w:firstLine="105" w:firstLineChars="50"/>
              <w:rPr>
                <w:rFonts w:ascii="宋体" w:hAnsi="宋体" w:eastAsia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kern w:val="0"/>
                <w:szCs w:val="21"/>
              </w:rPr>
              <w:t>课程目标</w:t>
            </w:r>
          </w:p>
        </w:tc>
        <w:tc>
          <w:tcPr>
            <w:tcW w:w="858" w:type="dxa"/>
            <w:shd w:val="clear" w:color="auto" w:fill="auto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kern w:val="0"/>
                <w:szCs w:val="21"/>
              </w:rPr>
            </w:pPr>
            <w:r>
              <w:rPr>
                <w:rFonts w:ascii="宋体" w:hAnsi="宋体" w:eastAsia="宋体"/>
                <w:b/>
                <w:bCs/>
                <w:kern w:val="0"/>
                <w:szCs w:val="21"/>
              </w:rPr>
              <w:t>平时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kern w:val="0"/>
                <w:szCs w:val="21"/>
              </w:rPr>
            </w:pPr>
            <w:r>
              <w:rPr>
                <w:rFonts w:ascii="宋体" w:hAnsi="宋体" w:eastAsia="宋体"/>
                <w:b/>
                <w:bCs/>
                <w:kern w:val="0"/>
                <w:szCs w:val="21"/>
              </w:rPr>
              <w:t>期中</w:t>
            </w:r>
          </w:p>
        </w:tc>
        <w:tc>
          <w:tcPr>
            <w:tcW w:w="1134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kern w:val="0"/>
                <w:szCs w:val="21"/>
              </w:rPr>
            </w:pPr>
            <w:r>
              <w:rPr>
                <w:rFonts w:ascii="宋体" w:hAnsi="宋体" w:eastAsia="宋体"/>
                <w:b/>
                <w:bCs/>
                <w:kern w:val="0"/>
                <w:szCs w:val="21"/>
              </w:rPr>
              <w:t>期末</w:t>
            </w:r>
          </w:p>
        </w:tc>
        <w:tc>
          <w:tcPr>
            <w:tcW w:w="2627" w:type="dxa"/>
            <w:shd w:val="clear" w:color="auto" w:fill="auto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kern w:val="0"/>
                <w:szCs w:val="21"/>
              </w:rPr>
            </w:pPr>
            <w:r>
              <w:rPr>
                <w:rFonts w:ascii="宋体" w:hAnsi="宋体" w:eastAsia="宋体"/>
                <w:b/>
                <w:bCs/>
                <w:kern w:val="0"/>
                <w:szCs w:val="21"/>
              </w:rPr>
              <w:t>总评达成度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122" w:type="dxa"/>
            <w:shd w:val="clear" w:color="auto" w:fill="auto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课程目标1</w:t>
            </w:r>
          </w:p>
        </w:tc>
        <w:tc>
          <w:tcPr>
            <w:tcW w:w="858" w:type="dxa"/>
            <w:shd w:val="clear" w:color="auto" w:fill="auto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0.5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无期中考试</w:t>
            </w:r>
          </w:p>
        </w:tc>
        <w:tc>
          <w:tcPr>
            <w:tcW w:w="1134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0.5</w:t>
            </w:r>
          </w:p>
        </w:tc>
        <w:tc>
          <w:tcPr>
            <w:tcW w:w="2627" w:type="dxa"/>
            <w:vMerge w:val="restart"/>
            <w:shd w:val="clear" w:color="auto" w:fill="auto"/>
            <w:vAlign w:val="center"/>
          </w:tcPr>
          <w:p>
            <w:pPr>
              <w:spacing w:before="156" w:beforeLines="50" w:after="156" w:afterLines="50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（例：课程</w:t>
            </w:r>
            <w:r>
              <w:rPr>
                <w:rFonts w:ascii="宋体" w:hAnsi="宋体" w:eastAsia="宋体"/>
                <w:kern w:val="0"/>
                <w:szCs w:val="21"/>
              </w:rPr>
              <w:t>目标</w:t>
            </w:r>
            <w:r>
              <w:rPr>
                <w:rFonts w:hint="eastAsia" w:ascii="宋体" w:hAnsi="宋体" w:eastAsia="宋体"/>
                <w:kern w:val="0"/>
                <w:szCs w:val="21"/>
              </w:rPr>
              <w:t>1</w:t>
            </w:r>
            <w:r>
              <w:rPr>
                <w:rFonts w:ascii="宋体" w:hAnsi="宋体" w:eastAsia="宋体"/>
                <w:kern w:val="0"/>
                <w:szCs w:val="21"/>
              </w:rPr>
              <w:t>达成度={0.</w:t>
            </w:r>
            <w:r>
              <w:rPr>
                <w:rFonts w:hint="eastAsia" w:ascii="宋体" w:hAnsi="宋体" w:eastAsia="宋体"/>
                <w:kern w:val="0"/>
                <w:szCs w:val="21"/>
              </w:rPr>
              <w:t>3</w:t>
            </w:r>
            <w:r>
              <w:rPr>
                <w:rFonts w:ascii="宋体" w:hAnsi="宋体" w:eastAsia="宋体"/>
                <w:kern w:val="0"/>
                <w:szCs w:val="21"/>
              </w:rPr>
              <w:t>ｘ平时目标</w:t>
            </w:r>
            <w:r>
              <w:rPr>
                <w:rFonts w:hint="eastAsia" w:ascii="宋体" w:hAnsi="宋体" w:eastAsia="宋体"/>
                <w:kern w:val="0"/>
                <w:szCs w:val="21"/>
              </w:rPr>
              <w:t>1</w:t>
            </w:r>
            <w:r>
              <w:rPr>
                <w:rFonts w:ascii="宋体" w:hAnsi="宋体" w:eastAsia="宋体"/>
                <w:kern w:val="0"/>
                <w:szCs w:val="21"/>
              </w:rPr>
              <w:t>成绩+0.</w:t>
            </w:r>
            <w:r>
              <w:rPr>
                <w:rFonts w:hint="eastAsia" w:ascii="宋体" w:hAnsi="宋体" w:eastAsia="宋体"/>
                <w:kern w:val="0"/>
                <w:szCs w:val="21"/>
              </w:rPr>
              <w:t>2</w:t>
            </w:r>
            <w:r>
              <w:rPr>
                <w:rFonts w:ascii="宋体" w:hAnsi="宋体" w:eastAsia="宋体"/>
                <w:kern w:val="0"/>
                <w:szCs w:val="21"/>
              </w:rPr>
              <w:t>ｘ期中目标</w:t>
            </w:r>
            <w:r>
              <w:rPr>
                <w:rFonts w:hint="eastAsia" w:ascii="宋体" w:hAnsi="宋体" w:eastAsia="宋体"/>
                <w:kern w:val="0"/>
                <w:szCs w:val="21"/>
              </w:rPr>
              <w:t>1</w:t>
            </w:r>
            <w:r>
              <w:rPr>
                <w:rFonts w:ascii="宋体" w:hAnsi="宋体" w:eastAsia="宋体"/>
                <w:kern w:val="0"/>
                <w:szCs w:val="21"/>
              </w:rPr>
              <w:t>成绩+0.</w:t>
            </w:r>
            <w:r>
              <w:rPr>
                <w:rFonts w:hint="eastAsia" w:ascii="宋体" w:hAnsi="宋体" w:eastAsia="宋体"/>
                <w:kern w:val="0"/>
                <w:szCs w:val="21"/>
              </w:rPr>
              <w:t>5</w:t>
            </w:r>
            <w:r>
              <w:rPr>
                <w:rFonts w:ascii="宋体" w:hAnsi="宋体" w:eastAsia="宋体"/>
                <w:kern w:val="0"/>
                <w:szCs w:val="21"/>
              </w:rPr>
              <w:t>ｘ期末目标</w:t>
            </w:r>
            <w:r>
              <w:rPr>
                <w:rFonts w:hint="eastAsia" w:ascii="宋体" w:hAnsi="宋体" w:eastAsia="宋体"/>
                <w:kern w:val="0"/>
                <w:szCs w:val="21"/>
              </w:rPr>
              <w:t>1</w:t>
            </w:r>
            <w:r>
              <w:rPr>
                <w:rFonts w:ascii="宋体" w:hAnsi="宋体" w:eastAsia="宋体"/>
                <w:kern w:val="0"/>
                <w:szCs w:val="21"/>
              </w:rPr>
              <w:t>成绩}/目标</w:t>
            </w:r>
            <w:r>
              <w:rPr>
                <w:rFonts w:hint="eastAsia" w:ascii="宋体" w:hAnsi="宋体" w:eastAsia="宋体"/>
                <w:kern w:val="0"/>
                <w:szCs w:val="21"/>
              </w:rPr>
              <w:t>1</w:t>
            </w:r>
            <w:r>
              <w:rPr>
                <w:rFonts w:ascii="宋体" w:hAnsi="宋体" w:eastAsia="宋体"/>
                <w:kern w:val="0"/>
                <w:szCs w:val="21"/>
              </w:rPr>
              <w:t>总分</w:t>
            </w:r>
            <w:r>
              <w:rPr>
                <w:rFonts w:hint="eastAsia" w:ascii="宋体" w:hAnsi="宋体" w:eastAsia="宋体"/>
                <w:kern w:val="0"/>
                <w:szCs w:val="21"/>
              </w:rPr>
              <w:t>。按课程考核实际情况描述）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2122" w:type="dxa"/>
            <w:shd w:val="clear" w:color="auto" w:fill="auto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课程目标2</w:t>
            </w:r>
          </w:p>
        </w:tc>
        <w:tc>
          <w:tcPr>
            <w:tcW w:w="858" w:type="dxa"/>
            <w:shd w:val="clear" w:color="auto" w:fill="auto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0.5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无期中考试</w:t>
            </w:r>
          </w:p>
        </w:tc>
        <w:tc>
          <w:tcPr>
            <w:tcW w:w="1134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0.5</w:t>
            </w:r>
          </w:p>
        </w:tc>
        <w:tc>
          <w:tcPr>
            <w:tcW w:w="2627" w:type="dxa"/>
            <w:vMerge w:val="continue"/>
            <w:shd w:val="clear" w:color="auto" w:fill="auto"/>
            <w:vAlign w:val="center"/>
          </w:tcPr>
          <w:p>
            <w:pPr>
              <w:spacing w:before="156" w:beforeLines="50" w:after="156" w:afterLines="50"/>
              <w:rPr>
                <w:rFonts w:ascii="宋体" w:hAnsi="宋体" w:eastAsia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2122" w:type="dxa"/>
            <w:shd w:val="clear" w:color="auto" w:fill="auto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课程目标3</w:t>
            </w:r>
          </w:p>
        </w:tc>
        <w:tc>
          <w:tcPr>
            <w:tcW w:w="858" w:type="dxa"/>
            <w:shd w:val="clear" w:color="auto" w:fill="auto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0.5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无期中考试</w:t>
            </w:r>
          </w:p>
        </w:tc>
        <w:tc>
          <w:tcPr>
            <w:tcW w:w="1134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0.5</w:t>
            </w:r>
          </w:p>
        </w:tc>
        <w:tc>
          <w:tcPr>
            <w:tcW w:w="2627" w:type="dxa"/>
            <w:vMerge w:val="continue"/>
            <w:shd w:val="clear" w:color="auto" w:fill="auto"/>
            <w:vAlign w:val="center"/>
          </w:tcPr>
          <w:p>
            <w:pPr>
              <w:spacing w:before="156" w:beforeLines="50" w:after="156" w:afterLines="50"/>
              <w:rPr>
                <w:rFonts w:ascii="宋体" w:hAnsi="宋体" w:eastAsia="宋体"/>
                <w:kern w:val="0"/>
                <w:szCs w:val="21"/>
              </w:rPr>
            </w:pPr>
          </w:p>
        </w:tc>
      </w:tr>
    </w:tbl>
    <w:p>
      <w:pPr>
        <w:widowControl/>
        <w:spacing w:before="156" w:beforeLines="50" w:after="156" w:afterLines="50"/>
        <w:ind w:firstLine="482" w:firstLineChars="200"/>
        <w:jc w:val="left"/>
        <w:rPr>
          <w:rFonts w:hint="eastAsia" w:ascii="黑体" w:hAnsi="黑体" w:eastAsia="黑体"/>
          <w:b/>
          <w:sz w:val="24"/>
          <w:szCs w:val="24"/>
        </w:rPr>
      </w:pPr>
    </w:p>
    <w:p>
      <w:pPr>
        <w:widowControl/>
        <w:spacing w:before="156" w:beforeLines="50" w:after="156" w:afterLines="50"/>
        <w:ind w:firstLine="482" w:firstLineChars="200"/>
        <w:jc w:val="left"/>
        <w:rPr>
          <w:rFonts w:hint="eastAsia" w:ascii="黑体" w:hAnsi="黑体" w:eastAsia="黑体"/>
          <w:b/>
          <w:sz w:val="24"/>
          <w:szCs w:val="24"/>
        </w:rPr>
      </w:pPr>
    </w:p>
    <w:p>
      <w:pPr>
        <w:widowControl/>
        <w:spacing w:before="156" w:beforeLines="50" w:after="156" w:afterLines="50"/>
        <w:ind w:firstLine="482" w:firstLineChars="200"/>
        <w:jc w:val="left"/>
        <w:rPr>
          <w:rFonts w:hint="eastAsia" w:ascii="黑体" w:hAnsi="黑体" w:eastAsia="黑体"/>
          <w:b/>
          <w:sz w:val="24"/>
          <w:szCs w:val="24"/>
        </w:rPr>
      </w:pPr>
    </w:p>
    <w:p>
      <w:pPr>
        <w:widowControl/>
        <w:spacing w:before="156" w:beforeLines="50" w:after="156" w:afterLines="50"/>
        <w:ind w:firstLine="482" w:firstLineChars="200"/>
        <w:jc w:val="left"/>
        <w:rPr>
          <w:rFonts w:hint="eastAsia" w:ascii="黑体" w:hAnsi="黑体" w:eastAsia="黑体"/>
          <w:b/>
          <w:sz w:val="24"/>
          <w:szCs w:val="24"/>
        </w:rPr>
      </w:pPr>
    </w:p>
    <w:p>
      <w:pPr>
        <w:widowControl/>
        <w:spacing w:before="156" w:beforeLines="50" w:after="156" w:afterLines="50"/>
        <w:ind w:firstLine="482" w:firstLineChars="200"/>
        <w:jc w:val="left"/>
        <w:rPr>
          <w:rFonts w:hint="eastAsia" w:ascii="黑体" w:hAnsi="黑体" w:eastAsia="黑体"/>
          <w:b/>
          <w:sz w:val="24"/>
          <w:szCs w:val="24"/>
        </w:rPr>
      </w:pPr>
    </w:p>
    <w:p>
      <w:pPr>
        <w:widowControl/>
        <w:spacing w:before="156" w:beforeLines="50" w:after="156" w:afterLines="50"/>
        <w:ind w:firstLine="482" w:firstLineChars="200"/>
        <w:jc w:val="left"/>
        <w:rPr>
          <w:rFonts w:hint="eastAsia" w:ascii="黑体" w:hAnsi="黑体" w:eastAsia="黑体"/>
          <w:b/>
          <w:sz w:val="24"/>
          <w:szCs w:val="24"/>
        </w:rPr>
      </w:pPr>
    </w:p>
    <w:p>
      <w:pPr>
        <w:widowControl/>
        <w:spacing w:before="156" w:beforeLines="50" w:after="156" w:afterLines="50"/>
        <w:ind w:firstLine="482" w:firstLineChars="200"/>
        <w:jc w:val="left"/>
        <w:rPr>
          <w:rFonts w:hint="eastAsia" w:ascii="黑体" w:hAnsi="黑体" w:eastAsia="黑体"/>
          <w:b/>
          <w:sz w:val="24"/>
          <w:szCs w:val="24"/>
        </w:rPr>
      </w:pPr>
    </w:p>
    <w:p>
      <w:pPr>
        <w:widowControl/>
        <w:spacing w:before="156" w:beforeLines="50" w:after="156" w:afterLines="50"/>
        <w:ind w:firstLine="482" w:firstLineChars="200"/>
        <w:jc w:val="left"/>
        <w:rPr>
          <w:rFonts w:hint="eastAsia" w:ascii="黑体" w:hAnsi="黑体" w:eastAsia="黑体"/>
          <w:b/>
          <w:sz w:val="24"/>
          <w:szCs w:val="24"/>
        </w:rPr>
      </w:pPr>
    </w:p>
    <w:p>
      <w:pPr>
        <w:widowControl/>
        <w:spacing w:before="156" w:beforeLines="50" w:after="156" w:afterLines="50"/>
        <w:ind w:firstLine="482" w:firstLineChars="200"/>
        <w:jc w:val="left"/>
        <w:rPr>
          <w:rFonts w:hint="eastAsia" w:ascii="黑体" w:hAnsi="黑体" w:eastAsia="黑体"/>
          <w:b/>
          <w:sz w:val="24"/>
          <w:szCs w:val="24"/>
        </w:rPr>
      </w:pPr>
    </w:p>
    <w:p>
      <w:pPr>
        <w:widowControl/>
        <w:spacing w:before="156" w:beforeLines="50" w:after="156" w:afterLines="50"/>
        <w:ind w:firstLine="482" w:firstLineChars="200"/>
        <w:jc w:val="left"/>
        <w:rPr>
          <w:rFonts w:hint="eastAsia" w:ascii="黑体" w:hAnsi="黑体" w:eastAsia="黑体"/>
          <w:b/>
          <w:sz w:val="24"/>
          <w:szCs w:val="24"/>
          <w:lang w:eastAsia="zh-CN"/>
        </w:rPr>
      </w:pPr>
      <w:bookmarkStart w:id="0" w:name="_GoBack"/>
      <w:bookmarkEnd w:id="0"/>
      <w:r>
        <w:rPr>
          <w:rFonts w:hint="eastAsia" w:ascii="黑体" w:hAnsi="黑体" w:eastAsia="黑体"/>
          <w:b/>
          <w:sz w:val="24"/>
          <w:szCs w:val="24"/>
        </w:rPr>
        <w:t xml:space="preserve">（三）评分标准 </w:t>
      </w:r>
    </w:p>
    <w:tbl>
      <w:tblPr>
        <w:tblStyle w:val="8"/>
        <w:tblW w:w="103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1984"/>
        <w:gridCol w:w="1984"/>
        <w:gridCol w:w="1843"/>
        <w:gridCol w:w="1779"/>
        <w:gridCol w:w="17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99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ascii="宋体" w:hAnsi="宋体" w:eastAsia="宋体"/>
                <w:b/>
                <w:bCs/>
                <w:szCs w:val="21"/>
              </w:rPr>
              <w:t>课程</w:t>
            </w:r>
          </w:p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ascii="宋体" w:hAnsi="宋体" w:eastAsia="宋体"/>
                <w:b/>
                <w:bCs/>
                <w:szCs w:val="21"/>
              </w:rPr>
              <w:t>目标</w:t>
            </w:r>
          </w:p>
        </w:tc>
        <w:tc>
          <w:tcPr>
            <w:tcW w:w="9369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ascii="宋体" w:hAnsi="宋体" w:eastAsia="宋体"/>
                <w:b/>
                <w:bCs/>
                <w:szCs w:val="21"/>
              </w:rPr>
              <w:t>评分标准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99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ascii="宋体" w:hAnsi="宋体" w:eastAsia="宋体"/>
                <w:b/>
                <w:bCs/>
                <w:szCs w:val="21"/>
              </w:rPr>
              <w:t>90-100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ascii="宋体" w:hAnsi="宋体" w:eastAsia="宋体"/>
                <w:b/>
                <w:bCs/>
                <w:szCs w:val="21"/>
              </w:rPr>
              <w:t>80-89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ascii="宋体" w:hAnsi="宋体" w:eastAsia="宋体"/>
                <w:b/>
                <w:bCs/>
                <w:szCs w:val="21"/>
              </w:rPr>
              <w:t>70-79</w:t>
            </w:r>
          </w:p>
        </w:tc>
        <w:tc>
          <w:tcPr>
            <w:tcW w:w="1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ascii="宋体" w:hAnsi="宋体" w:eastAsia="宋体"/>
                <w:b/>
                <w:bCs/>
                <w:szCs w:val="21"/>
              </w:rPr>
              <w:t>60-69</w:t>
            </w:r>
          </w:p>
        </w:tc>
        <w:tc>
          <w:tcPr>
            <w:tcW w:w="1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＜6</w:t>
            </w:r>
            <w:r>
              <w:rPr>
                <w:rFonts w:ascii="宋体" w:hAnsi="宋体" w:eastAsia="宋体"/>
                <w:b/>
                <w:bCs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tblHeader/>
          <w:jc w:val="center"/>
        </w:trPr>
        <w:tc>
          <w:tcPr>
            <w:tcW w:w="99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ascii="宋体" w:hAnsi="宋体" w:eastAsia="宋体"/>
                <w:b/>
                <w:bCs/>
                <w:szCs w:val="21"/>
              </w:rPr>
              <w:t>优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ascii="宋体" w:hAnsi="宋体" w:eastAsia="宋体"/>
                <w:b/>
                <w:bCs/>
                <w:szCs w:val="21"/>
              </w:rPr>
              <w:t>良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ascii="宋体" w:hAnsi="宋体" w:eastAsia="宋体"/>
                <w:b/>
                <w:bCs/>
                <w:szCs w:val="21"/>
              </w:rPr>
              <w:t>中</w:t>
            </w:r>
          </w:p>
        </w:tc>
        <w:tc>
          <w:tcPr>
            <w:tcW w:w="1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合格</w:t>
            </w:r>
          </w:p>
        </w:tc>
        <w:tc>
          <w:tcPr>
            <w:tcW w:w="1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tblHeader/>
          <w:jc w:val="center"/>
        </w:trPr>
        <w:tc>
          <w:tcPr>
            <w:tcW w:w="99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A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B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C</w:t>
            </w:r>
          </w:p>
        </w:tc>
        <w:tc>
          <w:tcPr>
            <w:tcW w:w="1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D</w:t>
            </w:r>
          </w:p>
        </w:tc>
        <w:tc>
          <w:tcPr>
            <w:tcW w:w="1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F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kern w:val="0"/>
                <w:szCs w:val="21"/>
              </w:rPr>
              <w:t>课程</w:t>
            </w:r>
          </w:p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kern w:val="0"/>
                <w:szCs w:val="21"/>
              </w:rPr>
            </w:pPr>
            <w:r>
              <w:rPr>
                <w:rFonts w:ascii="宋体" w:hAnsi="宋体" w:eastAsia="宋体"/>
                <w:b/>
                <w:bCs/>
                <w:kern w:val="0"/>
                <w:szCs w:val="21"/>
              </w:rPr>
              <w:t>目标1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 w:after="156" w:afterLines="5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精准掌握电子商务基本概念及理论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 w:after="156" w:afterLines="5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熟练掌握电子商务基本概念及理论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 w:after="156" w:afterLines="5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基本掌握电子商务基本概念及理论</w:t>
            </w:r>
          </w:p>
        </w:tc>
        <w:tc>
          <w:tcPr>
            <w:tcW w:w="1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 w:after="156" w:afterLines="5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基本掌握电子商务基本概念及理论</w:t>
            </w:r>
          </w:p>
        </w:tc>
        <w:tc>
          <w:tcPr>
            <w:tcW w:w="1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 w:after="156" w:afterLines="5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没有掌握电子商务基本概念及理论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kern w:val="0"/>
                <w:szCs w:val="21"/>
              </w:rPr>
              <w:t>课程</w:t>
            </w:r>
          </w:p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kern w:val="0"/>
                <w:szCs w:val="21"/>
              </w:rPr>
            </w:pPr>
            <w:r>
              <w:rPr>
                <w:rFonts w:ascii="宋体" w:hAnsi="宋体" w:eastAsia="宋体"/>
                <w:b/>
                <w:bCs/>
                <w:kern w:val="0"/>
                <w:szCs w:val="21"/>
              </w:rPr>
              <w:t>目标2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 w:after="156" w:afterLines="5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掌握并能熟练应用案例分析方法进行实际的电子商务案例分析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 w:after="156" w:afterLines="5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掌握并能较熟练应用案例分析方法进行实际的电子商务案例分析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 w:after="156" w:afterLines="5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掌握并能应用案例分析方法进行实际的电子商务案例分析</w:t>
            </w:r>
          </w:p>
        </w:tc>
        <w:tc>
          <w:tcPr>
            <w:tcW w:w="1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 w:after="156" w:afterLines="5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基本掌握并能应用案例分析方法进行实际的电子商务案例分析</w:t>
            </w:r>
          </w:p>
        </w:tc>
        <w:tc>
          <w:tcPr>
            <w:tcW w:w="1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 w:after="156" w:afterLines="5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不能应用案例分析方法进行完整的电子商务案例分析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kern w:val="0"/>
                <w:szCs w:val="21"/>
              </w:rPr>
              <w:t>课程</w:t>
            </w:r>
          </w:p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kern w:val="0"/>
                <w:szCs w:val="21"/>
              </w:rPr>
            </w:pPr>
            <w:r>
              <w:rPr>
                <w:rFonts w:ascii="宋体" w:hAnsi="宋体" w:eastAsia="宋体"/>
                <w:b/>
                <w:bCs/>
                <w:kern w:val="0"/>
                <w:szCs w:val="21"/>
              </w:rPr>
              <w:t>目标3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 w:after="156" w:afterLines="5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有优秀的英语表达能力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 w:after="156" w:afterLines="5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有良好的英语表达能力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 w:after="156" w:afterLines="5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有较好的英语表达能力</w:t>
            </w:r>
          </w:p>
        </w:tc>
        <w:tc>
          <w:tcPr>
            <w:tcW w:w="1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 w:after="156" w:afterLines="5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英语表达能力合格</w:t>
            </w:r>
          </w:p>
        </w:tc>
        <w:tc>
          <w:tcPr>
            <w:tcW w:w="1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 w:after="156" w:afterLines="5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英语表达能力欠佳</w:t>
            </w:r>
          </w:p>
        </w:tc>
      </w:tr>
    </w:tbl>
    <w:p>
      <w:pPr>
        <w:widowControl/>
        <w:jc w:val="left"/>
        <w:rPr>
          <w:rFonts w:ascii="宋体" w:hAnsi="宋体" w:eastAsia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TimesNewRomanPSMT">
    <w:altName w:val="MS Gothic"/>
    <w:panose1 w:val="00000000000000000000"/>
    <w:charset w:val="80"/>
    <w:family w:val="auto"/>
    <w:pitch w:val="default"/>
    <w:sig w:usb0="00000000" w:usb1="00000000" w:usb2="00000010" w:usb3="00000000" w:csb0="0002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8E1E26"/>
    <w:multiLevelType w:val="singleLevel"/>
    <w:tmpl w:val="848E1E26"/>
    <w:lvl w:ilvl="0" w:tentative="0">
      <w:start w:val="1"/>
      <w:numFmt w:val="bullet"/>
      <w:lvlText w:val="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B821DB4E"/>
    <w:multiLevelType w:val="singleLevel"/>
    <w:tmpl w:val="B821DB4E"/>
    <w:lvl w:ilvl="0" w:tentative="0">
      <w:start w:val="1"/>
      <w:numFmt w:val="bullet"/>
      <w:lvlText w:val="•"/>
      <w:lvlJc w:val="left"/>
      <w:pPr>
        <w:ind w:left="420" w:hanging="420"/>
      </w:pPr>
      <w:rPr>
        <w:rFonts w:hint="default" w:ascii="Arial" w:hAnsi="Arial" w:cs="Arial"/>
      </w:rPr>
    </w:lvl>
  </w:abstractNum>
  <w:abstractNum w:abstractNumId="2">
    <w:nsid w:val="C166935E"/>
    <w:multiLevelType w:val="singleLevel"/>
    <w:tmpl w:val="C166935E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64EBE9C1"/>
    <w:multiLevelType w:val="singleLevel"/>
    <w:tmpl w:val="64EBE9C1"/>
    <w:lvl w:ilvl="0" w:tentative="0">
      <w:start w:val="4"/>
      <w:numFmt w:val="chineseCounting"/>
      <w:lvlText w:val="第%1章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A2YTMyY2ZhYmFhNGY4OTZhZTdjMTVmMDlhN2U2NWMifQ=="/>
  </w:docVars>
  <w:rsids>
    <w:rsidRoot w:val="00BE52D2"/>
    <w:rsid w:val="001C482C"/>
    <w:rsid w:val="00256ABD"/>
    <w:rsid w:val="00464B28"/>
    <w:rsid w:val="007D0B76"/>
    <w:rsid w:val="00944566"/>
    <w:rsid w:val="00A55817"/>
    <w:rsid w:val="00AC084B"/>
    <w:rsid w:val="00BE52D2"/>
    <w:rsid w:val="00D85A0F"/>
    <w:rsid w:val="00FE76E6"/>
    <w:rsid w:val="1821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6"/>
    <w:unhideWhenUsed/>
    <w:qFormat/>
    <w:uiPriority w:val="9"/>
    <w:pPr>
      <w:keepNext/>
      <w:keepLines/>
      <w:spacing w:before="50" w:beforeLines="50" w:after="50" w:afterLines="50"/>
      <w:ind w:firstLine="200" w:firstLineChars="200"/>
      <w:jc w:val="left"/>
      <w:outlineLvl w:val="1"/>
    </w:pPr>
    <w:rPr>
      <w:rFonts w:ascii="宋体" w:hAnsi="宋体" w:eastAsia="宋体" w:cstheme="majorBidi"/>
      <w:bCs/>
      <w:szCs w:val="32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link w:val="11"/>
    <w:qFormat/>
    <w:uiPriority w:val="99"/>
    <w:rPr>
      <w:rFonts w:ascii="宋体" w:hAnsi="Courier New" w:eastAsia="宋体" w:cs="Times New Roman"/>
      <w:szCs w:val="20"/>
    </w:rPr>
  </w:style>
  <w:style w:type="paragraph" w:styleId="5">
    <w:name w:val="Balloon Text"/>
    <w:basedOn w:val="1"/>
    <w:link w:val="14"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纯文本 字符"/>
    <w:basedOn w:val="10"/>
    <w:link w:val="4"/>
    <w:qFormat/>
    <w:uiPriority w:val="99"/>
    <w:rPr>
      <w:rFonts w:ascii="宋体" w:hAnsi="Courier New" w:eastAsia="宋体" w:cs="Times New Roman"/>
      <w:szCs w:val="20"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框文本 字符"/>
    <w:basedOn w:val="10"/>
    <w:link w:val="5"/>
    <w:semiHidden/>
    <w:qFormat/>
    <w:uiPriority w:val="99"/>
    <w:rPr>
      <w:sz w:val="18"/>
      <w:szCs w:val="18"/>
    </w:rPr>
  </w:style>
  <w:style w:type="character" w:customStyle="1" w:styleId="15">
    <w:name w:val="标题 1 字符"/>
    <w:basedOn w:val="10"/>
    <w:link w:val="2"/>
    <w:qFormat/>
    <w:uiPriority w:val="9"/>
    <w:rPr>
      <w:rFonts w:asciiTheme="minorHAnsi" w:hAnsiTheme="minorHAnsi" w:eastAsiaTheme="minorEastAsia" w:cstheme="minorBidi"/>
      <w:b/>
      <w:bCs/>
      <w:kern w:val="44"/>
      <w:sz w:val="44"/>
      <w:szCs w:val="44"/>
    </w:rPr>
  </w:style>
  <w:style w:type="character" w:customStyle="1" w:styleId="16">
    <w:name w:val="标题 2 字符"/>
    <w:basedOn w:val="10"/>
    <w:link w:val="3"/>
    <w:qFormat/>
    <w:uiPriority w:val="9"/>
    <w:rPr>
      <w:rFonts w:ascii="宋体" w:hAnsi="宋体" w:cstheme="majorBidi"/>
      <w:bCs/>
      <w:kern w:val="2"/>
      <w:sz w:val="21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10</Pages>
  <Words>2744</Words>
  <Characters>6410</Characters>
  <Lines>52</Lines>
  <Paragraphs>14</Paragraphs>
  <TotalTime>22</TotalTime>
  <ScaleCrop>false</ScaleCrop>
  <LinksUpToDate>false</LinksUpToDate>
  <CharactersWithSpaces>7008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2023-08-28T07:47:00Z</dcterms:created>
  <dc:creator>Windows User</dc:creator>
  <cp:lastModifiedBy>BTA</cp:lastModifiedBy>
  <cp:lastPrinted>2020-12-24T15:17:00Z</cp:lastPrinted>
  <dcterms:modified xsi:type="dcterms:W3CDTF">2023-08-28T13:07:18Z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3690E4FCA44B4CAFA53163EB0AD2B7B0_13</vt:lpwstr>
  </property>
</Properties>
</file>